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12AC1">
      <w:pPr>
        <w:jc w:val="center"/>
        <w:rPr>
          <w:rFonts w:hint="eastAsia" w:ascii="Times New Roman" w:hAnsi="Times New Roman" w:eastAsia="宋体" w:cs="Times New Roman"/>
          <w:b/>
          <w:sz w:val="36"/>
          <w:szCs w:val="36"/>
        </w:rPr>
      </w:pPr>
      <w:r>
        <w:rPr>
          <w:rFonts w:hint="eastAsia" w:ascii="宋体" w:hAnsi="宋体"/>
          <w:spacing w:val="-8"/>
          <w:kern w:val="16"/>
          <w:sz w:val="30"/>
          <w:szCs w:val="30"/>
        </w:rPr>
        <w:t>附件</w:t>
      </w:r>
      <w:r>
        <w:rPr>
          <w:rFonts w:hint="eastAsia" w:ascii="宋体" w:hAnsi="宋体"/>
          <w:spacing w:val="-8"/>
          <w:kern w:val="16"/>
          <w:sz w:val="30"/>
          <w:szCs w:val="30"/>
          <w:lang w:val="en-US" w:eastAsia="zh-CN"/>
        </w:rPr>
        <w:t>1</w:t>
      </w:r>
      <w:r>
        <w:rPr>
          <w:rFonts w:hint="eastAsia" w:ascii="宋体" w:hAnsi="宋体"/>
          <w:spacing w:val="-8"/>
          <w:kern w:val="16"/>
          <w:sz w:val="30"/>
          <w:szCs w:val="30"/>
        </w:rPr>
        <w:t>：</w:t>
      </w:r>
      <w:r>
        <w:rPr>
          <w:rFonts w:hint="eastAsia"/>
          <w:b/>
          <w:sz w:val="36"/>
          <w:szCs w:val="36"/>
        </w:rPr>
        <w:t>衢州学院外国语学院第</w:t>
      </w:r>
      <w:r>
        <w:rPr>
          <w:rFonts w:hint="eastAsia"/>
          <w:b/>
          <w:sz w:val="36"/>
          <w:szCs w:val="36"/>
          <w:lang w:val="en-US" w:eastAsia="zh-CN"/>
        </w:rPr>
        <w:t>十一</w:t>
      </w:r>
      <w:r>
        <w:rPr>
          <w:rFonts w:hint="eastAsia"/>
          <w:b/>
          <w:sz w:val="36"/>
          <w:szCs w:val="36"/>
        </w:rPr>
        <w:t>届学生职业技能大</w:t>
      </w:r>
      <w:r>
        <w:rPr>
          <w:rFonts w:hint="eastAsia" w:ascii="Times New Roman" w:hAnsi="Times New Roman" w:eastAsia="宋体" w:cs="Times New Roman"/>
          <w:b/>
          <w:sz w:val="36"/>
          <w:szCs w:val="36"/>
        </w:rPr>
        <w:t>赛评分标准</w:t>
      </w:r>
    </w:p>
    <w:p w14:paraId="77C6ECE4">
      <w:pPr>
        <w:rPr>
          <w:rFonts w:hint="eastAsia"/>
        </w:rPr>
      </w:pPr>
    </w:p>
    <w:p w14:paraId="369AD817">
      <w:pPr>
        <w:jc w:val="center"/>
        <w:rPr>
          <w:rFonts w:hint="eastAsia"/>
          <w:b/>
          <w:bCs/>
          <w:color w:val="auto"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宋体" w:hAnsi="宋体"/>
          <w:b/>
          <w:bCs/>
          <w:color w:val="auto"/>
          <w:sz w:val="32"/>
          <w:szCs w:val="32"/>
        </w:rPr>
        <w:t>模拟上课评分标准（满分100分）</w:t>
      </w:r>
    </w:p>
    <w:p w14:paraId="27CD62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模拟上课是参赛者依据备课内容，自主选择一个“教学片段”或“环节”进行模拟上课。应能够突出新课程理念，展示驾驭课堂教学的艺术，体现创新精神和课堂教学研究的能力。</w:t>
      </w:r>
    </w:p>
    <w:p w14:paraId="644EF9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模拟上课时长不超过10分钟。课件和板书在模拟教学中呈现，评委结合模拟上课、课件和板书三部分内容打分。</w:t>
      </w:r>
    </w:p>
    <w:p w14:paraId="33EA55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/>
          <w:color w:val="auto"/>
          <w:sz w:val="24"/>
          <w:szCs w:val="24"/>
        </w:rPr>
      </w:pPr>
    </w:p>
    <w:tbl>
      <w:tblPr>
        <w:tblStyle w:val="5"/>
        <w:tblW w:w="8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276"/>
        <w:gridCol w:w="4678"/>
        <w:gridCol w:w="850"/>
      </w:tblGrid>
      <w:tr w14:paraId="75E6B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1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0E2A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/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项目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22AA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/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评价内容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42CF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/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评</w:t>
            </w:r>
            <w:r>
              <w:rPr>
                <w:rFonts w:hint="default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color w:val="auto"/>
                <w:sz w:val="24"/>
                <w:szCs w:val="24"/>
              </w:rPr>
              <w:t>价</w:t>
            </w:r>
            <w:r>
              <w:rPr>
                <w:rFonts w:hint="default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color w:val="auto"/>
                <w:sz w:val="24"/>
                <w:szCs w:val="24"/>
              </w:rPr>
              <w:t>标</w:t>
            </w:r>
            <w:r>
              <w:rPr>
                <w:rFonts w:hint="default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color w:val="auto"/>
                <w:sz w:val="24"/>
                <w:szCs w:val="24"/>
              </w:rPr>
              <w:t>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1F6B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/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分值</w:t>
            </w:r>
          </w:p>
        </w:tc>
      </w:tr>
      <w:tr w14:paraId="7EE20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0" w:hRule="atLeast"/>
          <w:jc w:val="center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434E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模拟</w:t>
            </w:r>
          </w:p>
          <w:p w14:paraId="0E13682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上课</w:t>
            </w:r>
          </w:p>
          <w:p w14:paraId="64473E6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（60分）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B311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教学目标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EC76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目标设置明确，符合课标要求和学生实际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1907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5</w:t>
            </w:r>
          </w:p>
        </w:tc>
      </w:tr>
      <w:tr w14:paraId="50EC2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0" w:hRule="atLeast"/>
          <w:jc w:val="center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AA33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24F4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教学内容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92EE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重点内容讲解明白，教学难点处理恰当，关注学生已有知识和经验，注重学生能力培养，强调课堂交流互动，知识阐释正确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01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</w:rPr>
              <w:t>10</w:t>
            </w:r>
          </w:p>
        </w:tc>
      </w:tr>
      <w:tr w14:paraId="0EA93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0" w:hRule="atLeast"/>
          <w:jc w:val="center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5987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0DD7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教学方法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5A8A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 xml:space="preserve">突出自主、探究、合作学习方式，体现多元化学习方法；实现有效师生互动 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7D91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15</w:t>
            </w:r>
          </w:p>
        </w:tc>
      </w:tr>
      <w:tr w14:paraId="153CD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0" w:hRule="atLeast"/>
          <w:jc w:val="center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18EE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CAA2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教学过程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92B2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教学整体安排合理，环节紧凑，层次清晰；创造性使用教材；教学特色突出；恰当使用多媒体课件辅助教学，教学演示规范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7AEF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15</w:t>
            </w:r>
          </w:p>
        </w:tc>
      </w:tr>
      <w:tr w14:paraId="6DEF1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0" w:hRule="atLeast"/>
          <w:jc w:val="center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0679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CECB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教学素质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0578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教态自然亲切、仪表举止得体，注重目光交流，教学语言规范准确、生动简洁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F0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</w:rPr>
              <w:t>5</w:t>
            </w:r>
          </w:p>
        </w:tc>
      </w:tr>
      <w:tr w14:paraId="301E4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0" w:hRule="atLeast"/>
          <w:jc w:val="center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204A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2B37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教学效果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BD59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按时完成教学任务，教学目标达成度高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4E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</w:rPr>
              <w:t>5</w:t>
            </w:r>
          </w:p>
        </w:tc>
      </w:tr>
      <w:tr w14:paraId="3CA5D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0" w:hRule="atLeast"/>
          <w:jc w:val="center"/>
        </w:trPr>
        <w:tc>
          <w:tcPr>
            <w:tcW w:w="12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2701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9AE4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教学创新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1B66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教学过程富有创意；能创造性的使用教材；教学方法灵活多样，有突出的特色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79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</w:rPr>
              <w:t>5</w:t>
            </w:r>
          </w:p>
        </w:tc>
      </w:tr>
      <w:tr w14:paraId="59031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0" w:hRule="atLeast"/>
          <w:jc w:val="center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F745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课件</w:t>
            </w:r>
          </w:p>
          <w:p w14:paraId="7968FCC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（25分）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78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right="0" w:hanging="120" w:hangingChars="50"/>
              <w:jc w:val="center"/>
              <w:textAlignment w:val="auto"/>
              <w:rPr>
                <w:rFonts w:hint="eastAsia"/>
                <w:color w:val="auto"/>
                <w:kern w:val="0"/>
                <w:sz w:val="24"/>
                <w:szCs w:val="24"/>
              </w:rPr>
            </w:pPr>
            <w:r>
              <w:rPr>
                <w:rFonts w:hint="default"/>
                <w:color w:val="auto"/>
                <w:kern w:val="0"/>
                <w:sz w:val="24"/>
                <w:szCs w:val="24"/>
              </w:rPr>
              <w:t>科学性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1678E">
            <w:pPr>
              <w:pStyle w:val="4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课件取材适宜，内容科学、正确、规范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；</w:t>
            </w:r>
            <w:r>
              <w:rPr>
                <w:rFonts w:hint="default"/>
                <w:color w:val="auto"/>
                <w:sz w:val="24"/>
                <w:szCs w:val="24"/>
              </w:rPr>
              <w:t>课件演示符合现代教育理念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C0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/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</w:rPr>
              <w:t>6</w:t>
            </w:r>
          </w:p>
        </w:tc>
      </w:tr>
      <w:tr w14:paraId="0F2F4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0" w:hRule="atLeast"/>
          <w:jc w:val="center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F5AB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BF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right="0" w:hanging="120" w:hangingChars="50"/>
              <w:jc w:val="center"/>
              <w:textAlignment w:val="auto"/>
              <w:rPr>
                <w:rFonts w:hint="eastAsia"/>
                <w:color w:val="auto"/>
                <w:kern w:val="0"/>
                <w:sz w:val="24"/>
                <w:szCs w:val="24"/>
              </w:rPr>
            </w:pPr>
            <w:r>
              <w:rPr>
                <w:rFonts w:hint="default"/>
                <w:color w:val="auto"/>
                <w:kern w:val="0"/>
                <w:sz w:val="24"/>
                <w:szCs w:val="24"/>
              </w:rPr>
              <w:t>教育性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0808E">
            <w:pPr>
              <w:pStyle w:val="4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课件设计新颖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，能体现教学设计思想；知识点结构清晰，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能调动学生的学习热情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C0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/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</w:rPr>
              <w:t>10</w:t>
            </w:r>
          </w:p>
        </w:tc>
      </w:tr>
      <w:tr w14:paraId="17B75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0" w:hRule="atLeast"/>
          <w:jc w:val="center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80D5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5923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right="0" w:hanging="120" w:hangingChars="50"/>
              <w:jc w:val="center"/>
              <w:textAlignment w:val="auto"/>
              <w:rPr>
                <w:rFonts w:hint="eastAsia"/>
                <w:color w:val="auto"/>
                <w:kern w:val="0"/>
                <w:sz w:val="24"/>
                <w:szCs w:val="24"/>
              </w:rPr>
            </w:pPr>
            <w:r>
              <w:rPr>
                <w:rFonts w:hint="default"/>
                <w:color w:val="auto"/>
                <w:kern w:val="0"/>
                <w:sz w:val="24"/>
                <w:szCs w:val="24"/>
              </w:rPr>
              <w:t>技术性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4E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/>
                <w:color w:val="auto"/>
                <w:kern w:val="0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</w:rPr>
              <w:t>课件制作和使用上恰当运用多媒体效果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35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/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</w:rPr>
              <w:t>5</w:t>
            </w:r>
          </w:p>
        </w:tc>
      </w:tr>
      <w:tr w14:paraId="5CD81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0" w:hRule="atLeast"/>
          <w:jc w:val="center"/>
        </w:trPr>
        <w:tc>
          <w:tcPr>
            <w:tcW w:w="12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645D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3491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/>
                <w:bCs/>
                <w:color w:val="auto"/>
                <w:sz w:val="24"/>
                <w:szCs w:val="24"/>
              </w:rPr>
            </w:pPr>
            <w:r>
              <w:rPr>
                <w:rFonts w:hint="default"/>
                <w:bCs/>
                <w:color w:val="auto"/>
                <w:sz w:val="24"/>
                <w:szCs w:val="24"/>
              </w:rPr>
              <w:t>艺术</w:t>
            </w:r>
            <w:r>
              <w:rPr>
                <w:rFonts w:hint="eastAsia"/>
                <w:bCs/>
                <w:color w:val="auto"/>
                <w:sz w:val="24"/>
                <w:szCs w:val="24"/>
              </w:rPr>
              <w:t>性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B616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</w:rPr>
              <w:t>画面设计具有较高艺术性，整体风格相对统一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1A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/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</w:rPr>
              <w:t>4</w:t>
            </w:r>
          </w:p>
        </w:tc>
      </w:tr>
      <w:tr w14:paraId="675DF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0" w:hRule="atLeast"/>
          <w:jc w:val="center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E164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板书</w:t>
            </w:r>
          </w:p>
          <w:p w14:paraId="2CBB312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（15分）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BD3A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内容匹配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3586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反映教学设计意图，突显重点、难点，能调动学生主动性和积极性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BC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</w:rPr>
              <w:t>6</w:t>
            </w:r>
          </w:p>
        </w:tc>
      </w:tr>
      <w:tr w14:paraId="20C32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0" w:hRule="atLeast"/>
          <w:jc w:val="center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7DE9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C366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构图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2A0D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构思巧妙，富有创意，构图自然，形象直观，教学辅助作用显著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0F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</w:rPr>
              <w:t>6</w:t>
            </w:r>
          </w:p>
        </w:tc>
      </w:tr>
      <w:tr w14:paraId="71494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0" w:hRule="atLeast"/>
          <w:jc w:val="center"/>
        </w:trPr>
        <w:tc>
          <w:tcPr>
            <w:tcW w:w="12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5CDF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9CF7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书写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B126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书写快速流畅，字形大小适度，清楚整洁，美观大方，不写错别字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C6DE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</w:rPr>
              <w:t>3</w:t>
            </w:r>
          </w:p>
        </w:tc>
      </w:tr>
    </w:tbl>
    <w:p w14:paraId="3340A4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b/>
          <w:bCs/>
          <w:color w:val="auto"/>
          <w:sz w:val="24"/>
          <w:szCs w:val="24"/>
        </w:rPr>
      </w:pPr>
      <w:r>
        <w:rPr>
          <w:rFonts w:hint="eastAsia"/>
          <w:b/>
          <w:bCs/>
          <w:color w:val="auto"/>
          <w:sz w:val="24"/>
          <w:szCs w:val="24"/>
        </w:rPr>
        <w:br w:type="page"/>
      </w:r>
    </w:p>
    <w:p w14:paraId="302CDCEC">
      <w:pPr>
        <w:keepNext w:val="0"/>
        <w:keepLines w:val="0"/>
        <w:pageBreakBefore w:val="0"/>
        <w:numPr>
          <w:ilvl w:val="0"/>
          <w:numId w:val="1"/>
        </w:numPr>
        <w:kinsoku/>
        <w:overflowPunct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/>
          <w:b/>
          <w:bCs/>
          <w:color w:val="000000"/>
          <w:sz w:val="32"/>
          <w:szCs w:val="32"/>
        </w:rPr>
      </w:pPr>
      <w:r>
        <w:rPr>
          <w:rFonts w:hint="eastAsia"/>
          <w:b/>
          <w:bCs/>
          <w:color w:val="000000"/>
          <w:sz w:val="32"/>
          <w:szCs w:val="32"/>
        </w:rPr>
        <w:t>英</w:t>
      </w:r>
      <w:r>
        <w:rPr>
          <w:rFonts w:hint="default"/>
          <w:b/>
          <w:bCs/>
          <w:color w:val="000000"/>
          <w:sz w:val="32"/>
          <w:szCs w:val="32"/>
        </w:rPr>
        <w:t>语</w:t>
      </w:r>
      <w:r>
        <w:rPr>
          <w:rFonts w:hint="eastAsia"/>
          <w:b/>
          <w:bCs/>
          <w:color w:val="000000"/>
          <w:sz w:val="32"/>
          <w:szCs w:val="32"/>
        </w:rPr>
        <w:t>演讲评分标准（满分100分）</w:t>
      </w:r>
    </w:p>
    <w:p w14:paraId="7EFFCA20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color w:val="000000"/>
        </w:rPr>
      </w:pPr>
    </w:p>
    <w:p w14:paraId="0D540EC7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Times New Roman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英语定题演讲是针对某一主题或话题的口头陈述和阐述，要求演讲者在规定的时间内对规定的主题进行深入分析、探讨、论证和表达。演讲者需要根据规定的主题，做好充分的准备和研究，包括收集相关材料、整理思路、撰写提纲等。在演讲过程中，演讲者需要注意语言表达的准确性、流畅性和连贯性，同时还要注意语音语调、肢体语言等方面的表现。</w:t>
      </w:r>
    </w:p>
    <w:p w14:paraId="6B5A1757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英语定题演讲的评分标准主要包括内容的完整性、结构的合理性、语言的准确性和表达的清晰度等方面。因此，学生在进行英语定题演讲时，需要注重细节，认真准备，有意识训练自己的语言水平和表达能力。</w:t>
      </w:r>
    </w:p>
    <w:p w14:paraId="53CBE6F3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Times New Roman"/>
          <w:color w:val="000000"/>
          <w:sz w:val="24"/>
          <w:lang w:val="en-US" w:eastAsia="zh-CN"/>
        </w:r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4323"/>
        <w:gridCol w:w="2841"/>
      </w:tblGrid>
      <w:tr w14:paraId="4143A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58" w:type="dxa"/>
            <w:noWrap w:val="0"/>
            <w:vAlign w:val="center"/>
          </w:tcPr>
          <w:p w14:paraId="6EDC595C">
            <w:pPr>
              <w:keepNext w:val="0"/>
              <w:keepLines w:val="0"/>
              <w:pageBreakBefore w:val="0"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eastAsia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考核项目</w:t>
            </w:r>
          </w:p>
        </w:tc>
        <w:tc>
          <w:tcPr>
            <w:tcW w:w="4323" w:type="dxa"/>
            <w:noWrap w:val="0"/>
            <w:vAlign w:val="center"/>
          </w:tcPr>
          <w:p w14:paraId="70F12304">
            <w:pPr>
              <w:keepNext w:val="0"/>
              <w:keepLines w:val="0"/>
              <w:pageBreakBefore w:val="0"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eastAsia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考核标准</w:t>
            </w:r>
          </w:p>
        </w:tc>
        <w:tc>
          <w:tcPr>
            <w:tcW w:w="2841" w:type="dxa"/>
            <w:noWrap w:val="0"/>
            <w:vAlign w:val="center"/>
          </w:tcPr>
          <w:p w14:paraId="1EFB8411">
            <w:pPr>
              <w:keepNext w:val="0"/>
              <w:keepLines w:val="0"/>
              <w:pageBreakBefore w:val="0"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eastAsia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分值</w:t>
            </w:r>
          </w:p>
        </w:tc>
      </w:tr>
      <w:tr w14:paraId="087CE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58" w:type="dxa"/>
            <w:noWrap w:val="0"/>
            <w:vAlign w:val="center"/>
          </w:tcPr>
          <w:p w14:paraId="6D1D2A70">
            <w:pPr>
              <w:keepNext w:val="0"/>
              <w:keepLines w:val="0"/>
              <w:pageBreakBefore w:val="0"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内容</w:t>
            </w:r>
          </w:p>
        </w:tc>
        <w:tc>
          <w:tcPr>
            <w:tcW w:w="4323" w:type="dxa"/>
            <w:noWrap w:val="0"/>
            <w:vAlign w:val="center"/>
          </w:tcPr>
          <w:p w14:paraId="17E4867F">
            <w:pPr>
              <w:keepNext w:val="0"/>
              <w:keepLines w:val="0"/>
              <w:pageBreakBefore w:val="0"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结构清晰，中心突出，证据充足，阐释充分。演讲内容有较强的思想性、逻辑性和感染力。</w:t>
            </w:r>
          </w:p>
        </w:tc>
        <w:tc>
          <w:tcPr>
            <w:tcW w:w="2841" w:type="dxa"/>
            <w:noWrap w:val="0"/>
            <w:vAlign w:val="center"/>
          </w:tcPr>
          <w:p w14:paraId="79304853">
            <w:pPr>
              <w:keepNext w:val="0"/>
              <w:keepLines w:val="0"/>
              <w:pageBreakBefore w:val="0"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eastAsia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vertAlign w:val="baseline"/>
                <w:lang w:val="en-US" w:eastAsia="zh-CN"/>
              </w:rPr>
              <w:t>45分</w:t>
            </w:r>
          </w:p>
        </w:tc>
      </w:tr>
      <w:tr w14:paraId="3556D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58" w:type="dxa"/>
            <w:noWrap w:val="0"/>
            <w:vAlign w:val="center"/>
          </w:tcPr>
          <w:p w14:paraId="2B097E4C">
            <w:pPr>
              <w:keepNext w:val="0"/>
              <w:keepLines w:val="0"/>
              <w:pageBreakBefore w:val="0"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语言</w:t>
            </w:r>
          </w:p>
        </w:tc>
        <w:tc>
          <w:tcPr>
            <w:tcW w:w="4323" w:type="dxa"/>
            <w:noWrap w:val="0"/>
            <w:vAlign w:val="center"/>
          </w:tcPr>
          <w:p w14:paraId="6B613671">
            <w:pPr>
              <w:keepNext w:val="0"/>
              <w:keepLines w:val="0"/>
              <w:pageBreakBefore w:val="0"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语音语调标准，口齿清楚，语句流畅，用词正确，无明显语法错误，显示较强的语言功底。</w:t>
            </w:r>
          </w:p>
        </w:tc>
        <w:tc>
          <w:tcPr>
            <w:tcW w:w="2841" w:type="dxa"/>
            <w:noWrap w:val="0"/>
            <w:vAlign w:val="center"/>
          </w:tcPr>
          <w:p w14:paraId="2B5412FB">
            <w:pPr>
              <w:keepNext w:val="0"/>
              <w:keepLines w:val="0"/>
              <w:pageBreakBefore w:val="0"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eastAsia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vertAlign w:val="baseline"/>
                <w:lang w:val="en-US" w:eastAsia="zh-CN"/>
              </w:rPr>
              <w:t>30分</w:t>
            </w:r>
          </w:p>
        </w:tc>
      </w:tr>
      <w:tr w14:paraId="3FDAE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58" w:type="dxa"/>
            <w:noWrap w:val="0"/>
            <w:vAlign w:val="center"/>
          </w:tcPr>
          <w:p w14:paraId="66A50863">
            <w:pPr>
              <w:keepNext w:val="0"/>
              <w:keepLines w:val="0"/>
              <w:pageBreakBefore w:val="0"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技巧</w:t>
            </w:r>
          </w:p>
        </w:tc>
        <w:tc>
          <w:tcPr>
            <w:tcW w:w="4323" w:type="dxa"/>
            <w:noWrap w:val="0"/>
            <w:vAlign w:val="center"/>
          </w:tcPr>
          <w:p w14:paraId="0E2DD2B0">
            <w:pPr>
              <w:keepNext w:val="0"/>
              <w:keepLines w:val="0"/>
              <w:pageBreakBefore w:val="0"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善于运用面部表情、手势和姿势，目光接触与身体语言运用得当，语调抑扬顿挫，富于变化，有较强艺术感染力。</w:t>
            </w:r>
          </w:p>
        </w:tc>
        <w:tc>
          <w:tcPr>
            <w:tcW w:w="2841" w:type="dxa"/>
            <w:noWrap w:val="0"/>
            <w:vAlign w:val="center"/>
          </w:tcPr>
          <w:p w14:paraId="5BFB46FF">
            <w:pPr>
              <w:keepNext w:val="0"/>
              <w:keepLines w:val="0"/>
              <w:pageBreakBefore w:val="0"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eastAsia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vertAlign w:val="baseline"/>
                <w:lang w:val="en-US" w:eastAsia="zh-CN"/>
              </w:rPr>
              <w:t>25分</w:t>
            </w:r>
          </w:p>
        </w:tc>
      </w:tr>
    </w:tbl>
    <w:p w14:paraId="6462BEE9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color w:val="FF0000"/>
        </w:rPr>
      </w:pPr>
    </w:p>
    <w:p w14:paraId="1339D0BA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/>
          <w:b/>
          <w:bCs/>
          <w:color w:val="FF0000"/>
          <w:sz w:val="32"/>
          <w:szCs w:val="32"/>
        </w:rPr>
      </w:pPr>
    </w:p>
    <w:p w14:paraId="2AAA1D69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/>
          <w:b/>
          <w:bCs/>
          <w:color w:val="FF0000"/>
          <w:sz w:val="32"/>
          <w:szCs w:val="32"/>
        </w:rPr>
      </w:pPr>
    </w:p>
    <w:p w14:paraId="1DA4FE9C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/>
          <w:b/>
          <w:bCs/>
          <w:color w:val="FF0000"/>
          <w:sz w:val="32"/>
          <w:szCs w:val="32"/>
        </w:rPr>
      </w:pPr>
    </w:p>
    <w:p w14:paraId="5552A76C">
      <w:pPr>
        <w:rPr>
          <w:rFonts w:hint="eastAsia"/>
          <w:b/>
          <w:bCs/>
          <w:color w:val="FF0000"/>
          <w:sz w:val="32"/>
          <w:szCs w:val="32"/>
        </w:rPr>
      </w:pPr>
      <w:r>
        <w:rPr>
          <w:rFonts w:hint="eastAsia"/>
          <w:b/>
          <w:bCs/>
          <w:color w:val="FF0000"/>
          <w:sz w:val="32"/>
          <w:szCs w:val="32"/>
        </w:rPr>
        <w:br w:type="page"/>
      </w:r>
    </w:p>
    <w:p w14:paraId="4A93CA03">
      <w:pPr>
        <w:keepNext w:val="0"/>
        <w:keepLines w:val="0"/>
        <w:pageBreakBefore w:val="0"/>
        <w:numPr>
          <w:ilvl w:val="0"/>
          <w:numId w:val="1"/>
        </w:numPr>
        <w:kinsoku/>
        <w:overflowPunct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center"/>
        <w:textAlignment w:val="auto"/>
        <w:rPr>
          <w:rFonts w:hint="eastAsia"/>
          <w:b/>
          <w:bCs/>
          <w:color w:val="000000"/>
          <w:sz w:val="32"/>
          <w:szCs w:val="32"/>
        </w:rPr>
      </w:pPr>
      <w:r>
        <w:rPr>
          <w:rFonts w:hint="eastAsia"/>
          <w:b/>
          <w:bCs/>
          <w:color w:val="000000"/>
          <w:sz w:val="32"/>
          <w:szCs w:val="32"/>
          <w:lang w:val="en-US" w:eastAsia="zh-CN"/>
        </w:rPr>
        <w:t>英语读写</w:t>
      </w:r>
      <w:r>
        <w:rPr>
          <w:rFonts w:hint="eastAsia"/>
          <w:b/>
          <w:bCs/>
          <w:color w:val="000000"/>
          <w:sz w:val="32"/>
          <w:szCs w:val="32"/>
        </w:rPr>
        <w:t>评分标准（满分100分）</w:t>
      </w:r>
    </w:p>
    <w:p w14:paraId="6E57853A">
      <w:pPr>
        <w:pStyle w:val="4"/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479" w:leftChars="228" w:firstLine="480" w:firstLineChars="200"/>
        <w:jc w:val="both"/>
        <w:textAlignment w:val="auto"/>
        <w:rPr>
          <w:rFonts w:hint="eastAsia" w:ascii="宋体" w:hAnsi="宋体" w:eastAsia="宋体" w:cs="Times New Roman"/>
          <w:color w:val="000000"/>
          <w:kern w:val="2"/>
          <w:sz w:val="24"/>
          <w:szCs w:val="24"/>
          <w:lang w:val="en-US" w:eastAsia="zh-CN" w:bidi="ar-SA"/>
        </w:rPr>
      </w:pPr>
    </w:p>
    <w:p w14:paraId="6B4CB93C">
      <w:pPr>
        <w:pStyle w:val="4"/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107" w:leftChars="51" w:firstLine="480" w:firstLineChars="200"/>
        <w:jc w:val="both"/>
        <w:textAlignment w:val="auto"/>
        <w:rPr>
          <w:rFonts w:hint="eastAsia"/>
          <w:b/>
          <w:bCs/>
          <w:color w:val="FF0000"/>
          <w:sz w:val="32"/>
          <w:szCs w:val="32"/>
        </w:rPr>
      </w:pPr>
      <w:r>
        <w:rPr>
          <w:rFonts w:hint="eastAsia" w:cs="Times New Roman"/>
          <w:color w:val="000000"/>
          <w:kern w:val="2"/>
          <w:sz w:val="24"/>
          <w:szCs w:val="24"/>
          <w:lang w:val="en-US" w:eastAsia="zh-CN" w:bidi="ar-SA"/>
        </w:rPr>
        <w:t>英语</w:t>
      </w:r>
      <w:r>
        <w:rPr>
          <w:rFonts w:hint="default" w:cs="Times New Roman"/>
          <w:color w:val="000000"/>
          <w:kern w:val="2"/>
          <w:sz w:val="24"/>
          <w:szCs w:val="24"/>
          <w:lang w:eastAsia="zh-CN" w:bidi="ar-SA"/>
          <w:woUserID w:val="6"/>
        </w:rPr>
        <w:t>读写</w:t>
      </w:r>
      <w:r>
        <w:rPr>
          <w:rFonts w:hint="eastAsia" w:cs="Times New Roman"/>
          <w:color w:val="000000"/>
          <w:kern w:val="2"/>
          <w:sz w:val="24"/>
          <w:szCs w:val="24"/>
          <w:lang w:val="en-US" w:eastAsia="zh-CN" w:bidi="ar-SA"/>
        </w:rPr>
        <w:t>赛项</w:t>
      </w:r>
      <w:r>
        <w:rPr>
          <w:rFonts w:hint="default" w:cs="Times New Roman"/>
          <w:color w:val="000000"/>
          <w:kern w:val="2"/>
          <w:sz w:val="24"/>
          <w:szCs w:val="24"/>
          <w:lang w:eastAsia="zh-CN" w:bidi="ar-SA"/>
          <w:woUserID w:val="6"/>
        </w:rPr>
        <w:t>写作部分试题</w:t>
      </w:r>
      <w:r>
        <w:rPr>
          <w:rFonts w:hint="eastAsia" w:ascii="宋体" w:hAnsi="宋体" w:eastAsia="宋体" w:cs="Times New Roman"/>
          <w:color w:val="000000"/>
          <w:kern w:val="2"/>
          <w:sz w:val="24"/>
          <w:szCs w:val="24"/>
          <w:lang w:val="en-US" w:eastAsia="zh-CN" w:bidi="ar-SA"/>
        </w:rPr>
        <w:t>参考“外研社•国才杯”全国写作大赛决赛评分标准，兼顾学生写作语言、格式、内容、以及思辨能力，确保评分规范、公平、公正。评分标准</w:t>
      </w:r>
      <w:r>
        <w:rPr>
          <w:rFonts w:hint="eastAsia" w:cs="Times New Roman"/>
          <w:color w:val="000000"/>
          <w:kern w:val="2"/>
          <w:sz w:val="24"/>
          <w:szCs w:val="24"/>
          <w:lang w:val="en-US" w:eastAsia="zh-CN" w:bidi="ar-SA"/>
        </w:rPr>
        <w:t>如下</w:t>
      </w:r>
      <w:r>
        <w:rPr>
          <w:rFonts w:hint="eastAsia" w:ascii="宋体" w:hAnsi="宋体" w:eastAsia="宋体" w:cs="Times New Roman"/>
          <w:color w:val="000000"/>
          <w:kern w:val="2"/>
          <w:sz w:val="24"/>
          <w:szCs w:val="24"/>
          <w:lang w:val="en-US" w:eastAsia="zh-CN" w:bidi="ar-SA"/>
        </w:rPr>
        <w:t>：</w:t>
      </w:r>
    </w:p>
    <w:p w14:paraId="216B9536">
      <w:pPr>
        <w:pStyle w:val="4"/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107" w:leftChars="51" w:firstLine="480" w:firstLineChars="200"/>
        <w:jc w:val="both"/>
        <w:textAlignment w:val="auto"/>
        <w:rPr>
          <w:rFonts w:hint="eastAsia" w:ascii="宋体" w:hAnsi="宋体" w:eastAsia="宋体" w:cs="Times New Roman"/>
          <w:color w:val="000000"/>
          <w:kern w:val="2"/>
          <w:sz w:val="24"/>
          <w:szCs w:val="24"/>
          <w:lang w:val="en-US" w:eastAsia="zh-CN" w:bidi="ar-SA"/>
        </w:rPr>
      </w:pPr>
    </w:p>
    <w:p w14:paraId="0244EDB3">
      <w:pPr>
        <w:pStyle w:val="4"/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107" w:leftChars="51" w:firstLine="480" w:firstLineChars="200"/>
        <w:jc w:val="both"/>
        <w:textAlignment w:val="auto"/>
        <w:rPr>
          <w:rFonts w:hint="eastAsia" w:ascii="宋体" w:hAnsi="宋体" w:eastAsia="宋体" w:cs="Times New Roman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000000"/>
          <w:kern w:val="2"/>
          <w:sz w:val="24"/>
          <w:szCs w:val="24"/>
          <w:lang w:val="en-US" w:eastAsia="zh-CN" w:bidi="ar-SA"/>
        </w:rPr>
        <w:t>一、适用文体</w:t>
      </w:r>
    </w:p>
    <w:p w14:paraId="73AAB382">
      <w:pPr>
        <w:pStyle w:val="4"/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107" w:leftChars="51" w:firstLine="480" w:firstLineChars="200"/>
        <w:jc w:val="both"/>
        <w:textAlignment w:val="auto"/>
        <w:rPr>
          <w:rFonts w:hint="eastAsia" w:ascii="宋体" w:hAnsi="宋体" w:eastAsia="宋体" w:cs="Times New Roman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000000"/>
          <w:kern w:val="2"/>
          <w:sz w:val="24"/>
          <w:szCs w:val="24"/>
          <w:lang w:val="en-US" w:eastAsia="zh-CN" w:bidi="ar-SA"/>
        </w:rPr>
        <w:t>说明文、应用文、议论文、记叙文等</w:t>
      </w:r>
    </w:p>
    <w:p w14:paraId="706D0266">
      <w:pPr>
        <w:pStyle w:val="4"/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107" w:leftChars="51" w:firstLine="480" w:firstLineChars="200"/>
        <w:jc w:val="both"/>
        <w:textAlignment w:val="auto"/>
        <w:rPr>
          <w:rFonts w:hint="eastAsia" w:ascii="宋体" w:hAnsi="宋体" w:eastAsia="宋体" w:cs="Times New Roman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000000"/>
          <w:kern w:val="2"/>
          <w:sz w:val="24"/>
          <w:szCs w:val="24"/>
          <w:lang w:val="en-US" w:eastAsia="zh-CN" w:bidi="ar-SA"/>
        </w:rPr>
        <w:t>二、内容与立意（占比 40%）</w:t>
      </w:r>
    </w:p>
    <w:p w14:paraId="78694614">
      <w:pPr>
        <w:pStyle w:val="4"/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107" w:leftChars="51" w:firstLine="480" w:firstLineChars="200"/>
        <w:jc w:val="both"/>
        <w:textAlignment w:val="auto"/>
        <w:rPr>
          <w:rFonts w:hint="eastAsia" w:ascii="宋体" w:hAnsi="宋体" w:eastAsia="宋体" w:cs="Times New Roman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000000"/>
          <w:kern w:val="2"/>
          <w:sz w:val="24"/>
          <w:szCs w:val="24"/>
          <w:lang w:val="en-US" w:eastAsia="zh-CN" w:bidi="ar-SA"/>
        </w:rPr>
        <w:t>文章紧扣主题与写作任务，切题精准；立意鲜明，中心论点清晰明确；文体风格规范正式，表述语气客观得体。</w:t>
      </w:r>
    </w:p>
    <w:p w14:paraId="47094EDF">
      <w:pPr>
        <w:pStyle w:val="4"/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107" w:leftChars="51" w:firstLine="480" w:firstLineChars="200"/>
        <w:jc w:val="both"/>
        <w:textAlignment w:val="auto"/>
        <w:rPr>
          <w:rFonts w:hint="eastAsia" w:ascii="宋体" w:hAnsi="宋体" w:eastAsia="宋体" w:cs="Times New Roman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000000"/>
          <w:kern w:val="2"/>
          <w:sz w:val="24"/>
          <w:szCs w:val="24"/>
          <w:lang w:val="en-US" w:eastAsia="zh-CN" w:bidi="ar-SA"/>
        </w:rPr>
        <w:t>三、篇章结构与内容拓展（占比 30%）</w:t>
      </w:r>
    </w:p>
    <w:p w14:paraId="04F54AD0">
      <w:pPr>
        <w:pStyle w:val="4"/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107" w:leftChars="51" w:firstLine="480" w:firstLineChars="200"/>
        <w:jc w:val="both"/>
        <w:textAlignment w:val="auto"/>
        <w:rPr>
          <w:rFonts w:hint="eastAsia" w:ascii="宋体" w:hAnsi="宋体" w:eastAsia="宋体" w:cs="Times New Roman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000000"/>
          <w:kern w:val="2"/>
          <w:sz w:val="24"/>
          <w:szCs w:val="24"/>
          <w:lang w:val="en-US" w:eastAsia="zh-CN" w:bidi="ar-SA"/>
        </w:rPr>
        <w:t>文章结构严谨、内容充实，能够恰当运用定义阐释、举例论证、因果分析、分类剖析、对比论证等写作手法，支撑中心论点、阐释个人观点；行文逻辑连贯、层次递进、前后统一；善用逻辑关联与语言过渡手法，实现篇章衔接自然流畅。</w:t>
      </w:r>
    </w:p>
    <w:p w14:paraId="2FDD0314">
      <w:pPr>
        <w:pStyle w:val="4"/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107" w:leftChars="51" w:firstLine="480" w:firstLineChars="200"/>
        <w:jc w:val="both"/>
        <w:textAlignment w:val="auto"/>
        <w:rPr>
          <w:rFonts w:hint="eastAsia" w:ascii="宋体" w:hAnsi="宋体" w:eastAsia="宋体" w:cs="Times New Roman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000000"/>
          <w:kern w:val="2"/>
          <w:sz w:val="24"/>
          <w:szCs w:val="24"/>
          <w:lang w:val="en-US" w:eastAsia="zh-CN" w:bidi="ar-SA"/>
        </w:rPr>
        <w:t>四、语言表达（占比 30%）</w:t>
      </w:r>
    </w:p>
    <w:p w14:paraId="55009157">
      <w:pPr>
        <w:pStyle w:val="4"/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107" w:leftChars="51" w:firstLine="480" w:firstLineChars="200"/>
        <w:jc w:val="both"/>
        <w:textAlignment w:val="auto"/>
        <w:rPr>
          <w:rFonts w:hint="eastAsia" w:ascii="宋体" w:hAnsi="宋体" w:eastAsia="宋体" w:cs="Times New Roman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000000"/>
          <w:kern w:val="2"/>
          <w:sz w:val="24"/>
          <w:szCs w:val="24"/>
          <w:lang w:val="en-US" w:eastAsia="zh-CN" w:bidi="ar-SA"/>
        </w:rPr>
        <w:t xml:space="preserve">单词拼写准确无误；语言表达流畅自然，写作功底扎实；语域选择恰当，句式灵活多变，词汇运用精准得体。 </w:t>
      </w:r>
    </w:p>
    <w:p w14:paraId="0A854133">
      <w:pPr>
        <w:pStyle w:val="4"/>
        <w:keepNext w:val="0"/>
        <w:keepLines w:val="0"/>
        <w:pageBreakBefore w:val="0"/>
        <w:shd w:val="clear" w:color="auto" w:fill="FFFFFF"/>
        <w:kinsoku/>
        <w:overflowPunct/>
        <w:topLinePunct/>
        <w:autoSpaceDE/>
        <w:autoSpaceDN/>
        <w:bidi w:val="0"/>
        <w:adjustRightInd/>
        <w:snapToGrid/>
        <w:spacing w:before="0" w:beforeAutospacing="0" w:after="75" w:afterAutospacing="0" w:line="360" w:lineRule="exact"/>
        <w:ind w:firstLine="480" w:firstLineChars="200"/>
        <w:textAlignment w:val="auto"/>
        <w:rPr>
          <w:rFonts w:hint="eastAsia" w:cs="宋体"/>
          <w:color w:val="FF0000"/>
          <w:sz w:val="24"/>
          <w:szCs w:val="24"/>
          <w:shd w:val="clear" w:color="auto" w:fill="FFFFFF"/>
          <w:lang w:val="en-US" w:eastAsia="zh-CN"/>
        </w:rPr>
      </w:pPr>
    </w:p>
    <w:p w14:paraId="3DB47A7F">
      <w:pPr>
        <w:pStyle w:val="4"/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107" w:leftChars="51" w:firstLine="480" w:firstLineChars="200"/>
        <w:jc w:val="both"/>
        <w:textAlignment w:val="auto"/>
        <w:rPr>
          <w:rFonts w:hint="eastAsia" w:ascii="宋体" w:hAnsi="宋体" w:eastAsia="宋体" w:cs="Times New Roman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default" w:cs="Times New Roman"/>
          <w:color w:val="000000"/>
          <w:kern w:val="2"/>
          <w:sz w:val="24"/>
          <w:szCs w:val="24"/>
          <w:lang w:eastAsia="zh-CN" w:bidi="ar-SA"/>
          <w:woUserID w:val="6"/>
        </w:rPr>
        <w:t>读写</w:t>
      </w:r>
      <w:r>
        <w:rPr>
          <w:rFonts w:hint="eastAsia" w:ascii="宋体" w:hAnsi="宋体" w:eastAsia="宋体" w:cs="Times New Roman"/>
          <w:color w:val="000000"/>
          <w:kern w:val="2"/>
          <w:sz w:val="24"/>
          <w:szCs w:val="24"/>
          <w:lang w:val="en-US" w:eastAsia="zh-CN" w:bidi="ar-SA"/>
        </w:rPr>
        <w:t>赛项</w:t>
      </w:r>
      <w:r>
        <w:rPr>
          <w:rFonts w:hint="default" w:cs="Times New Roman"/>
          <w:color w:val="000000"/>
          <w:kern w:val="2"/>
          <w:sz w:val="24"/>
          <w:szCs w:val="24"/>
          <w:lang w:eastAsia="zh-CN" w:bidi="ar-SA"/>
          <w:woUserID w:val="6"/>
        </w:rPr>
        <w:t>其他</w:t>
      </w:r>
      <w:r>
        <w:rPr>
          <w:rFonts w:hint="eastAsia" w:ascii="宋体" w:hAnsi="宋体" w:eastAsia="宋体" w:cs="Times New Roman"/>
          <w:color w:val="000000"/>
          <w:kern w:val="2"/>
          <w:sz w:val="24"/>
          <w:szCs w:val="24"/>
          <w:lang w:val="en-US" w:eastAsia="zh-CN" w:bidi="ar-SA"/>
        </w:rPr>
        <w:t>题型主要考查选手</w:t>
      </w:r>
      <w:r>
        <w:rPr>
          <w:rFonts w:hint="default" w:ascii="宋体" w:hAnsi="宋体" w:eastAsia="宋体" w:cs="Times New Roman"/>
          <w:color w:val="000000"/>
          <w:kern w:val="2"/>
          <w:sz w:val="24"/>
          <w:szCs w:val="24"/>
          <w:lang w:eastAsia="zh-CN" w:bidi="ar-SA"/>
        </w:rPr>
        <w:t>以下方面的能力：</w:t>
      </w:r>
      <w:r>
        <w:rPr>
          <w:rFonts w:hint="default" w:ascii="宋体" w:hAnsi="宋体" w:eastAsia="宋体" w:cs="Times New Roman"/>
          <w:color w:val="000000"/>
          <w:kern w:val="2"/>
          <w:sz w:val="24"/>
          <w:szCs w:val="24"/>
          <w:lang w:val="en-US" w:eastAsia="zh-CN" w:bidi="ar-SA"/>
        </w:rPr>
        <w:t>检验学生的词汇量和语法知识的掌握</w:t>
      </w:r>
      <w:r>
        <w:rPr>
          <w:rFonts w:hint="default" w:cs="Times New Roman"/>
          <w:color w:val="000000"/>
          <w:kern w:val="2"/>
          <w:sz w:val="24"/>
          <w:szCs w:val="24"/>
          <w:lang w:eastAsia="zh-CN" w:bidi="ar-SA"/>
          <w:woUserID w:val="6"/>
        </w:rPr>
        <w:t>运用</w:t>
      </w:r>
      <w:r>
        <w:rPr>
          <w:rFonts w:hint="default" w:ascii="宋体" w:hAnsi="宋体" w:eastAsia="宋体" w:cs="Times New Roman"/>
          <w:color w:val="000000"/>
          <w:kern w:val="2"/>
          <w:sz w:val="24"/>
          <w:szCs w:val="24"/>
          <w:lang w:val="en-US" w:eastAsia="zh-CN" w:bidi="ar-SA"/>
        </w:rPr>
        <w:t>程度，要求学生能够准确理解阅读材料中的生词和复杂句子结构</w:t>
      </w:r>
      <w:r>
        <w:rPr>
          <w:rFonts w:hint="default" w:ascii="宋体" w:hAnsi="宋体" w:eastAsia="宋体" w:cs="Times New Roman"/>
          <w:color w:val="000000"/>
          <w:kern w:val="2"/>
          <w:sz w:val="24"/>
          <w:szCs w:val="24"/>
          <w:lang w:eastAsia="zh-CN" w:bidi="ar-SA"/>
        </w:rPr>
        <w:t>；</w:t>
      </w:r>
      <w:r>
        <w:rPr>
          <w:rFonts w:hint="default" w:ascii="宋体" w:hAnsi="宋体" w:eastAsia="宋体" w:cs="Times New Roman"/>
          <w:color w:val="000000"/>
          <w:kern w:val="2"/>
          <w:sz w:val="24"/>
          <w:szCs w:val="24"/>
          <w:lang w:val="en-US" w:eastAsia="zh-CN" w:bidi="ar-SA"/>
        </w:rPr>
        <w:t>评估学生的阅读速度和阅读理解力，要求学生在有限的时间内迅速捕捉关键信息，并理解文章的主旨、细节和逻辑关系</w:t>
      </w:r>
      <w:r>
        <w:rPr>
          <w:rFonts w:hint="default" w:ascii="宋体" w:hAnsi="宋体" w:eastAsia="宋体" w:cs="Times New Roman"/>
          <w:color w:val="000000"/>
          <w:kern w:val="2"/>
          <w:sz w:val="24"/>
          <w:szCs w:val="24"/>
          <w:lang w:eastAsia="zh-CN" w:bidi="ar-SA"/>
        </w:rPr>
        <w:t>；</w:t>
      </w:r>
      <w:r>
        <w:rPr>
          <w:rFonts w:hint="default" w:ascii="宋体" w:hAnsi="宋体" w:eastAsia="宋体" w:cs="Times New Roman"/>
          <w:color w:val="000000"/>
          <w:kern w:val="2"/>
          <w:sz w:val="24"/>
          <w:szCs w:val="24"/>
          <w:lang w:val="en-US" w:eastAsia="zh-CN" w:bidi="ar-SA"/>
        </w:rPr>
        <w:t>考查学生的信息筛选和逻辑推理能力，要求学生能够从大量信息中筛选出重要内容，并通过推理判断得出正确结论</w:t>
      </w:r>
      <w:r>
        <w:rPr>
          <w:rFonts w:hint="default" w:ascii="宋体" w:hAnsi="宋体" w:eastAsia="宋体" w:cs="Times New Roman"/>
          <w:color w:val="000000"/>
          <w:kern w:val="2"/>
          <w:sz w:val="24"/>
          <w:szCs w:val="24"/>
          <w:lang w:eastAsia="zh-CN" w:bidi="ar-SA"/>
        </w:rPr>
        <w:t>；考察</w:t>
      </w:r>
      <w:r>
        <w:rPr>
          <w:rFonts w:hint="default" w:ascii="宋体" w:hAnsi="宋体" w:eastAsia="宋体" w:cs="Times New Roman"/>
          <w:color w:val="000000"/>
          <w:kern w:val="2"/>
          <w:sz w:val="24"/>
          <w:szCs w:val="24"/>
          <w:lang w:val="en-US" w:eastAsia="zh-CN" w:bidi="ar-SA"/>
        </w:rPr>
        <w:t>学生的篇章分析能力，要求学生能够把握文章的整体结构和作者的写作意图</w:t>
      </w:r>
      <w:r>
        <w:rPr>
          <w:rFonts w:hint="default" w:ascii="宋体" w:hAnsi="宋体" w:eastAsia="宋体" w:cs="Times New Roman"/>
          <w:color w:val="000000"/>
          <w:kern w:val="2"/>
          <w:sz w:val="24"/>
          <w:szCs w:val="24"/>
          <w:lang w:eastAsia="zh-CN" w:bidi="ar-SA"/>
        </w:rPr>
        <w:t>；此外，还考察学生</w:t>
      </w:r>
      <w:r>
        <w:rPr>
          <w:rFonts w:hint="default" w:cs="Times New Roman"/>
          <w:color w:val="000000"/>
          <w:kern w:val="2"/>
          <w:sz w:val="24"/>
          <w:szCs w:val="24"/>
          <w:lang w:eastAsia="zh-CN" w:bidi="ar-SA"/>
          <w:woUserID w:val="6"/>
        </w:rPr>
        <w:t>的语言运用能力，</w:t>
      </w:r>
      <w:r>
        <w:rPr>
          <w:rFonts w:hint="eastAsia" w:ascii="宋体" w:hAnsi="宋体" w:eastAsia="宋体" w:cs="Times New Roman"/>
          <w:color w:val="000000"/>
          <w:kern w:val="2"/>
          <w:sz w:val="24"/>
          <w:szCs w:val="24"/>
          <w:lang w:val="en-US" w:eastAsia="zh-CN" w:bidi="ar-SA"/>
        </w:rPr>
        <w:t>跨文化能力、思辨能力、</w:t>
      </w:r>
      <w:r>
        <w:rPr>
          <w:rFonts w:hint="default" w:ascii="宋体" w:hAnsi="宋体" w:eastAsia="宋体" w:cs="Times New Roman"/>
          <w:color w:val="000000"/>
          <w:kern w:val="2"/>
          <w:sz w:val="24"/>
          <w:szCs w:val="24"/>
          <w:lang w:eastAsia="zh-CN" w:bidi="ar-SA"/>
        </w:rPr>
        <w:t>逻辑思维</w:t>
      </w:r>
      <w:r>
        <w:rPr>
          <w:rFonts w:hint="eastAsia" w:ascii="宋体" w:hAnsi="宋体" w:eastAsia="宋体" w:cs="Times New Roman"/>
          <w:color w:val="000000"/>
          <w:kern w:val="2"/>
          <w:sz w:val="24"/>
          <w:szCs w:val="24"/>
          <w:lang w:val="en-US" w:eastAsia="zh-CN" w:bidi="ar-SA"/>
        </w:rPr>
        <w:t>能力等。</w:t>
      </w:r>
    </w:p>
    <w:p w14:paraId="29957C7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spacing w:before="210" w:beforeAutospacing="0" w:after="0" w:afterAutospacing="0" w:line="26" w:lineRule="atLeast"/>
        <w:ind w:left="0" w:right="0" w:firstLine="0"/>
        <w:rPr>
          <w:rFonts w:hint="eastAsia" w:ascii="宋体" w:hAnsi="宋体" w:eastAsia="宋体" w:cs="宋体"/>
          <w:color w:val="FF0000"/>
          <w:sz w:val="24"/>
          <w:szCs w:val="24"/>
          <w:shd w:val="clear" w:color="auto" w:fill="FFFFFF"/>
          <w:lang w:val="en-US" w:eastAsia="zh-CN"/>
        </w:rPr>
      </w:pPr>
    </w:p>
    <w:p w14:paraId="502AD3B7">
      <w:pPr>
        <w:pStyle w:val="4"/>
        <w:keepNext w:val="0"/>
        <w:keepLines w:val="0"/>
        <w:pageBreakBefore w:val="0"/>
        <w:shd w:val="clear" w:color="auto" w:fill="FFFFFF"/>
        <w:kinsoku/>
        <w:overflowPunct/>
        <w:topLinePunct/>
        <w:autoSpaceDE/>
        <w:autoSpaceDN/>
        <w:bidi w:val="0"/>
        <w:adjustRightInd/>
        <w:snapToGrid/>
        <w:spacing w:before="0" w:beforeAutospacing="0" w:after="75" w:afterAutospacing="0" w:line="360" w:lineRule="exact"/>
        <w:ind w:firstLine="480" w:firstLineChars="200"/>
        <w:textAlignment w:val="auto"/>
        <w:rPr>
          <w:rFonts w:hint="eastAsia" w:ascii="宋体" w:hAnsi="宋体" w:eastAsia="宋体" w:cs="宋体"/>
          <w:color w:val="FF0000"/>
          <w:sz w:val="24"/>
          <w:szCs w:val="24"/>
          <w:shd w:val="clear" w:color="auto" w:fill="FFFFFF"/>
          <w:lang w:val="en-US" w:eastAsia="zh-CN"/>
        </w:rPr>
      </w:pPr>
    </w:p>
    <w:p w14:paraId="262383F8">
      <w:pPr>
        <w:pStyle w:val="4"/>
        <w:keepNext w:val="0"/>
        <w:keepLines w:val="0"/>
        <w:pageBreakBefore w:val="0"/>
        <w:shd w:val="clear" w:color="auto" w:fill="FFFFFF"/>
        <w:kinsoku/>
        <w:overflowPunct/>
        <w:topLinePunct/>
        <w:autoSpaceDE/>
        <w:autoSpaceDN/>
        <w:bidi w:val="0"/>
        <w:adjustRightInd/>
        <w:snapToGrid/>
        <w:spacing w:before="0" w:beforeAutospacing="0" w:after="75" w:afterAutospacing="0" w:line="360" w:lineRule="exact"/>
        <w:ind w:firstLine="480" w:firstLineChars="200"/>
        <w:textAlignment w:val="auto"/>
        <w:rPr>
          <w:rFonts w:hint="eastAsia" w:ascii="宋体" w:hAnsi="宋体" w:eastAsia="宋体" w:cs="宋体"/>
          <w:color w:val="FF0000"/>
          <w:sz w:val="24"/>
          <w:szCs w:val="24"/>
          <w:shd w:val="clear" w:color="auto" w:fill="FFFFFF"/>
          <w:lang w:val="en-US" w:eastAsia="zh-CN"/>
        </w:rPr>
      </w:pPr>
    </w:p>
    <w:p w14:paraId="2FD64095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color w:val="FF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shd w:val="clear" w:color="auto" w:fill="FFFFFF"/>
          <w:lang w:val="en-US" w:eastAsia="zh-CN"/>
        </w:rPr>
        <w:br w:type="page"/>
      </w:r>
    </w:p>
    <w:p w14:paraId="1B44EE3C">
      <w:pPr>
        <w:pStyle w:val="4"/>
        <w:keepNext w:val="0"/>
        <w:keepLines w:val="0"/>
        <w:pageBreakBefore w:val="0"/>
        <w:numPr>
          <w:ilvl w:val="0"/>
          <w:numId w:val="1"/>
        </w:numPr>
        <w:shd w:val="clear" w:color="auto" w:fill="FFFFFF"/>
        <w:kinsoku/>
        <w:overflowPunct/>
        <w:topLinePunct/>
        <w:autoSpaceDE/>
        <w:autoSpaceDN/>
        <w:bidi w:val="0"/>
        <w:adjustRightInd/>
        <w:snapToGrid/>
        <w:spacing w:before="0" w:beforeAutospacing="0" w:after="75" w:afterAutospacing="0" w:line="360" w:lineRule="exact"/>
        <w:ind w:left="0" w:leftChars="0" w:firstLine="0" w:firstLineChars="0"/>
        <w:jc w:val="center"/>
        <w:textAlignment w:val="auto"/>
        <w:rPr>
          <w:rFonts w:hint="eastAsia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/>
          <w:b/>
          <w:bCs/>
          <w:color w:val="000000"/>
          <w:sz w:val="32"/>
          <w:szCs w:val="32"/>
          <w:lang w:val="en-US" w:eastAsia="zh-CN"/>
        </w:rPr>
        <w:t>“理解当代中国”英语笔译评分标准（满分100分）</w:t>
      </w:r>
    </w:p>
    <w:p w14:paraId="00DF415B">
      <w:pPr>
        <w:pStyle w:val="4"/>
        <w:keepNext w:val="0"/>
        <w:keepLines w:val="0"/>
        <w:pageBreakBefore w:val="0"/>
        <w:shd w:val="clear" w:color="auto" w:fill="FFFFFF"/>
        <w:kinsoku/>
        <w:overflowPunct/>
        <w:topLinePunct/>
        <w:autoSpaceDE/>
        <w:autoSpaceDN/>
        <w:bidi w:val="0"/>
        <w:adjustRightInd/>
        <w:snapToGrid/>
        <w:spacing w:before="0" w:beforeAutospacing="0" w:after="75" w:afterAutospacing="0" w:line="36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</w:pPr>
    </w:p>
    <w:p w14:paraId="3C4B968E">
      <w:pPr>
        <w:pStyle w:val="4"/>
        <w:keepNext w:val="0"/>
        <w:keepLines w:val="0"/>
        <w:pageBreakBefore w:val="0"/>
        <w:shd w:val="clear" w:color="auto" w:fill="FFFFFF"/>
        <w:kinsoku/>
        <w:overflowPunct/>
        <w:topLinePunct/>
        <w:autoSpaceDE/>
        <w:autoSpaceDN/>
        <w:bidi w:val="0"/>
        <w:adjustRightInd/>
        <w:snapToGrid/>
        <w:spacing w:before="0" w:beforeAutospacing="0" w:after="75" w:afterAutospacing="0" w:line="36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</w:pPr>
      <w:r>
        <w:rPr>
          <w:rFonts w:hint="eastAsia" w:cs="宋体"/>
          <w:color w:val="000000"/>
          <w:sz w:val="24"/>
          <w:szCs w:val="24"/>
          <w:shd w:val="clear" w:color="auto" w:fill="FFFFFF"/>
          <w:lang w:val="en-US" w:eastAsia="zh-CN"/>
        </w:rPr>
        <w:t>笔译赛项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满分为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>100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分，成绩分为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>五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个档次：1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>00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-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>85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分、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>84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-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>70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分、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>69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-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>55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分、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4-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>35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分、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>34-0分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。在确定分数档之后，阅卷员需要通过对考生翻译中的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fldChar w:fldCharType="begin"/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instrText xml:space="preserve"> HYPERLINK "http://class.hujiang.com/category/131331623804?ch_source=ipo_qbmh_0_gjcdlwj" \o "更多语法内容" \t "https://www.hjenglish.com/new/p1362843/_blank" </w:instrTex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fldChar w:fldCharType="separate"/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语法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fldChar w:fldCharType="end"/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、用词以及拼写错误进行量化，然后扣分，最终决定考生的翻译分数。详见下表：</w:t>
      </w:r>
    </w:p>
    <w:p w14:paraId="7587B449">
      <w:pPr>
        <w:pStyle w:val="4"/>
        <w:keepNext w:val="0"/>
        <w:keepLines w:val="0"/>
        <w:pageBreakBefore w:val="0"/>
        <w:shd w:val="clear" w:color="auto" w:fill="FFFFFF"/>
        <w:kinsoku/>
        <w:overflowPunct/>
        <w:topLinePunct/>
        <w:autoSpaceDE/>
        <w:autoSpaceDN/>
        <w:bidi w:val="0"/>
        <w:adjustRightInd/>
        <w:snapToGrid/>
        <w:spacing w:before="0" w:beforeAutospacing="0" w:after="75" w:afterAutospacing="0" w:line="36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</w:pPr>
    </w:p>
    <w:tbl>
      <w:tblPr>
        <w:tblStyle w:val="5"/>
        <w:tblW w:w="8423" w:type="dxa"/>
        <w:tblInd w:w="1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93"/>
        <w:gridCol w:w="6830"/>
      </w:tblGrid>
      <w:tr w14:paraId="5681B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</w:trPr>
        <w:tc>
          <w:tcPr>
            <w:tcW w:w="1593" w:type="dxa"/>
            <w:noWrap w:val="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029456C">
            <w:pPr>
              <w:keepNext w:val="0"/>
              <w:keepLines w:val="0"/>
              <w:pageBreakBefore w:val="0"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分数档次</w:t>
            </w:r>
          </w:p>
        </w:tc>
        <w:tc>
          <w:tcPr>
            <w:tcW w:w="6830" w:type="dxa"/>
            <w:noWrap w:val="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D2F6C68">
            <w:pPr>
              <w:keepNext w:val="0"/>
              <w:keepLines w:val="0"/>
              <w:pageBreakBefore w:val="0"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评分标准</w:t>
            </w:r>
          </w:p>
        </w:tc>
      </w:tr>
      <w:tr w14:paraId="219AF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14" w:hRule="atLeast"/>
        </w:trPr>
        <w:tc>
          <w:tcPr>
            <w:tcW w:w="1593" w:type="dxa"/>
            <w:noWrap w:val="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D1E4A8F">
            <w:pPr>
              <w:keepNext w:val="0"/>
              <w:keepLines w:val="0"/>
              <w:pageBreakBefore w:val="0"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85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  <w:t>分</w:t>
            </w:r>
          </w:p>
        </w:tc>
        <w:tc>
          <w:tcPr>
            <w:tcW w:w="6830" w:type="dxa"/>
            <w:noWrap w:val="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53B077A">
            <w:pPr>
              <w:keepNext w:val="0"/>
              <w:keepLines w:val="0"/>
              <w:pageBreakBefore w:val="0"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译文准确表达了原文的意思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正确地解读了思想内涵，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用词贴切，行文流畅，基本上无语言错误，仅有个别小错。</w:t>
            </w:r>
          </w:p>
        </w:tc>
      </w:tr>
      <w:tr w14:paraId="06D9B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93" w:type="dxa"/>
            <w:noWrap w:val="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BE3332D">
            <w:pPr>
              <w:keepNext w:val="0"/>
              <w:keepLines w:val="0"/>
              <w:pageBreakBefore w:val="0"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84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70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  <w:t>分</w:t>
            </w:r>
          </w:p>
        </w:tc>
        <w:tc>
          <w:tcPr>
            <w:tcW w:w="6830" w:type="dxa"/>
            <w:noWrap w:val="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0530FE1">
            <w:pPr>
              <w:keepNext w:val="0"/>
              <w:keepLines w:val="0"/>
              <w:pageBreakBefore w:val="0"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译文基本上表达了原文的意思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较为正确地解读了思想内涵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。文字通顺、连贯，无重大语言错误。</w:t>
            </w:r>
          </w:p>
        </w:tc>
      </w:tr>
      <w:tr w14:paraId="6B3D5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93" w:type="dxa"/>
            <w:noWrap w:val="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DA363DB">
            <w:pPr>
              <w:keepNext w:val="0"/>
              <w:keepLines w:val="0"/>
              <w:pageBreakBefore w:val="0"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69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55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  <w:t>分</w:t>
            </w:r>
          </w:p>
        </w:tc>
        <w:tc>
          <w:tcPr>
            <w:tcW w:w="6830" w:type="dxa"/>
            <w:noWrap w:val="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82BB76B">
            <w:pPr>
              <w:keepNext w:val="0"/>
              <w:keepLines w:val="0"/>
              <w:pageBreakBefore w:val="0"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译文勉强表达了原文的意思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解读了思想内涵有偏差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。用词欠准确，语言错误相当多，其中有些是严重语言错误。</w:t>
            </w:r>
          </w:p>
        </w:tc>
      </w:tr>
      <w:tr w14:paraId="48C4F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93" w:type="dxa"/>
            <w:noWrap w:val="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A44CD5C">
            <w:pPr>
              <w:keepNext w:val="0"/>
              <w:keepLines w:val="0"/>
              <w:pageBreakBefore w:val="0"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  <w:t>4-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  <w:t>分</w:t>
            </w:r>
          </w:p>
        </w:tc>
        <w:tc>
          <w:tcPr>
            <w:tcW w:w="6830" w:type="dxa"/>
            <w:noWrap w:val="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68026D7">
            <w:pPr>
              <w:keepNext w:val="0"/>
              <w:keepLines w:val="0"/>
              <w:pageBreakBefore w:val="0"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译文仅表达了一小部分原文的意思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没有正确解读思想内涵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。用词不准确，有相当多的严重语言错误。</w:t>
            </w:r>
          </w:p>
        </w:tc>
      </w:tr>
      <w:tr w14:paraId="0B2E0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6" w:hRule="atLeast"/>
        </w:trPr>
        <w:tc>
          <w:tcPr>
            <w:tcW w:w="1593" w:type="dxa"/>
            <w:noWrap w:val="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14AE3E2">
            <w:pPr>
              <w:keepNext w:val="0"/>
              <w:keepLines w:val="0"/>
              <w:pageBreakBefore w:val="0"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34-0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  <w:t>分</w:t>
            </w:r>
          </w:p>
        </w:tc>
        <w:tc>
          <w:tcPr>
            <w:tcW w:w="6830" w:type="dxa"/>
            <w:noWrap w:val="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A004643">
            <w:pPr>
              <w:keepNext w:val="0"/>
              <w:keepLines w:val="0"/>
              <w:pageBreakBefore w:val="0"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译文支离破碎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除个别词语或句子，绝大部分文字没有表达原文意思。</w:t>
            </w:r>
          </w:p>
        </w:tc>
      </w:tr>
    </w:tbl>
    <w:p w14:paraId="2069772B">
      <w:pPr>
        <w:keepNext w:val="0"/>
        <w:keepLines w:val="0"/>
        <w:pageBreakBefore w:val="0"/>
        <w:numPr>
          <w:ilvl w:val="0"/>
          <w:numId w:val="0"/>
        </w:numPr>
        <w:kinsoku/>
        <w:overflowPunct/>
        <w:autoSpaceDE/>
        <w:autoSpaceDN/>
        <w:bidi w:val="0"/>
        <w:adjustRightInd/>
        <w:snapToGrid/>
        <w:spacing w:line="360" w:lineRule="exact"/>
        <w:ind w:leftChars="0"/>
        <w:jc w:val="both"/>
        <w:textAlignment w:val="auto"/>
        <w:rPr>
          <w:rFonts w:hint="eastAsia"/>
          <w:color w:val="000000"/>
          <w:szCs w:val="22"/>
        </w:rPr>
      </w:pPr>
    </w:p>
    <w:p w14:paraId="1DBC3231">
      <w:pPr>
        <w:keepNext w:val="0"/>
        <w:keepLines w:val="0"/>
        <w:pageBreakBefore w:val="0"/>
        <w:numPr>
          <w:ilvl w:val="0"/>
          <w:numId w:val="0"/>
        </w:numPr>
        <w:kinsoku/>
        <w:overflowPunct/>
        <w:autoSpaceDE/>
        <w:autoSpaceDN/>
        <w:bidi w:val="0"/>
        <w:adjustRightInd/>
        <w:snapToGrid/>
        <w:spacing w:line="360" w:lineRule="exact"/>
        <w:ind w:leftChars="0"/>
        <w:jc w:val="both"/>
        <w:textAlignment w:val="auto"/>
        <w:rPr>
          <w:rFonts w:hint="eastAsia"/>
          <w:color w:val="000000"/>
          <w:szCs w:val="22"/>
        </w:rPr>
      </w:pPr>
    </w:p>
    <w:p w14:paraId="02CD7A8A">
      <w:pPr>
        <w:keepNext w:val="0"/>
        <w:keepLines w:val="0"/>
        <w:pageBreakBefore w:val="0"/>
        <w:numPr>
          <w:ilvl w:val="0"/>
          <w:numId w:val="0"/>
        </w:numPr>
        <w:kinsoku/>
        <w:overflowPunct/>
        <w:autoSpaceDE/>
        <w:autoSpaceDN/>
        <w:bidi w:val="0"/>
        <w:adjustRightInd/>
        <w:snapToGrid/>
        <w:spacing w:line="360" w:lineRule="exact"/>
        <w:ind w:leftChars="0"/>
        <w:jc w:val="both"/>
        <w:textAlignment w:val="auto"/>
        <w:rPr>
          <w:rFonts w:hint="eastAsia"/>
          <w:color w:val="000000"/>
          <w:szCs w:val="22"/>
        </w:rPr>
      </w:pPr>
    </w:p>
    <w:p w14:paraId="200022E9">
      <w:pPr>
        <w:keepNext w:val="0"/>
        <w:keepLines w:val="0"/>
        <w:pageBreakBefore w:val="0"/>
        <w:numPr>
          <w:ilvl w:val="0"/>
          <w:numId w:val="0"/>
        </w:numPr>
        <w:kinsoku/>
        <w:overflowPunct/>
        <w:autoSpaceDE/>
        <w:autoSpaceDN/>
        <w:bidi w:val="0"/>
        <w:adjustRightInd/>
        <w:snapToGrid/>
        <w:spacing w:line="360" w:lineRule="exact"/>
        <w:ind w:leftChars="0"/>
        <w:jc w:val="both"/>
        <w:textAlignment w:val="auto"/>
        <w:rPr>
          <w:rFonts w:hint="eastAsia"/>
          <w:color w:val="000000"/>
          <w:szCs w:val="22"/>
        </w:rPr>
      </w:pPr>
    </w:p>
    <w:p w14:paraId="2CDC1CFD">
      <w:pPr>
        <w:keepNext w:val="0"/>
        <w:keepLines w:val="0"/>
        <w:pageBreakBefore w:val="0"/>
        <w:numPr>
          <w:ilvl w:val="0"/>
          <w:numId w:val="0"/>
        </w:numPr>
        <w:kinsoku/>
        <w:overflowPunct/>
        <w:autoSpaceDE/>
        <w:autoSpaceDN/>
        <w:bidi w:val="0"/>
        <w:adjustRightInd/>
        <w:snapToGrid/>
        <w:spacing w:line="360" w:lineRule="exact"/>
        <w:ind w:leftChars="0"/>
        <w:jc w:val="both"/>
        <w:textAlignment w:val="auto"/>
        <w:rPr>
          <w:rFonts w:hint="eastAsia"/>
          <w:color w:val="000000"/>
          <w:szCs w:val="22"/>
        </w:rPr>
      </w:pPr>
    </w:p>
    <w:p w14:paraId="24238622">
      <w:pPr>
        <w:keepNext w:val="0"/>
        <w:keepLines w:val="0"/>
        <w:pageBreakBefore w:val="0"/>
        <w:numPr>
          <w:ilvl w:val="0"/>
          <w:numId w:val="0"/>
        </w:numPr>
        <w:kinsoku/>
        <w:overflowPunct/>
        <w:autoSpaceDE/>
        <w:autoSpaceDN/>
        <w:bidi w:val="0"/>
        <w:adjustRightInd/>
        <w:snapToGrid/>
        <w:spacing w:line="360" w:lineRule="exact"/>
        <w:ind w:leftChars="0"/>
        <w:jc w:val="both"/>
        <w:textAlignment w:val="auto"/>
        <w:rPr>
          <w:rFonts w:hint="eastAsia"/>
          <w:color w:val="000000"/>
          <w:szCs w:val="22"/>
        </w:rPr>
      </w:pPr>
    </w:p>
    <w:p w14:paraId="238BC09C">
      <w:pPr>
        <w:keepNext w:val="0"/>
        <w:keepLines w:val="0"/>
        <w:pageBreakBefore w:val="0"/>
        <w:numPr>
          <w:ilvl w:val="0"/>
          <w:numId w:val="0"/>
        </w:numPr>
        <w:kinsoku/>
        <w:overflowPunct/>
        <w:autoSpaceDE/>
        <w:autoSpaceDN/>
        <w:bidi w:val="0"/>
        <w:adjustRightInd/>
        <w:snapToGrid/>
        <w:spacing w:line="360" w:lineRule="exact"/>
        <w:ind w:leftChars="0"/>
        <w:jc w:val="both"/>
        <w:textAlignment w:val="auto"/>
        <w:rPr>
          <w:rFonts w:hint="eastAsia"/>
          <w:color w:val="000000"/>
          <w:szCs w:val="22"/>
        </w:rPr>
      </w:pPr>
    </w:p>
    <w:p w14:paraId="460F7065">
      <w:pPr>
        <w:keepNext w:val="0"/>
        <w:keepLines w:val="0"/>
        <w:pageBreakBefore w:val="0"/>
        <w:numPr>
          <w:ilvl w:val="0"/>
          <w:numId w:val="0"/>
        </w:numPr>
        <w:kinsoku/>
        <w:overflowPunct/>
        <w:autoSpaceDE/>
        <w:autoSpaceDN/>
        <w:bidi w:val="0"/>
        <w:adjustRightInd/>
        <w:snapToGrid/>
        <w:spacing w:line="360" w:lineRule="exact"/>
        <w:ind w:leftChars="0"/>
        <w:jc w:val="both"/>
        <w:textAlignment w:val="auto"/>
        <w:rPr>
          <w:rFonts w:hint="eastAsia"/>
          <w:color w:val="000000"/>
          <w:szCs w:val="22"/>
        </w:rPr>
      </w:pPr>
    </w:p>
    <w:p w14:paraId="603B3F78">
      <w:pPr>
        <w:keepNext w:val="0"/>
        <w:keepLines w:val="0"/>
        <w:pageBreakBefore w:val="0"/>
        <w:numPr>
          <w:ilvl w:val="0"/>
          <w:numId w:val="0"/>
        </w:numPr>
        <w:kinsoku/>
        <w:overflowPunct/>
        <w:autoSpaceDE/>
        <w:autoSpaceDN/>
        <w:bidi w:val="0"/>
        <w:adjustRightInd/>
        <w:snapToGrid/>
        <w:spacing w:line="360" w:lineRule="exact"/>
        <w:ind w:leftChars="0"/>
        <w:jc w:val="both"/>
        <w:textAlignment w:val="auto"/>
        <w:rPr>
          <w:rFonts w:hint="eastAsia"/>
          <w:color w:val="000000"/>
          <w:szCs w:val="22"/>
        </w:rPr>
      </w:pPr>
    </w:p>
    <w:p w14:paraId="493ABC1C">
      <w:pPr>
        <w:keepNext w:val="0"/>
        <w:keepLines w:val="0"/>
        <w:pageBreakBefore w:val="0"/>
        <w:numPr>
          <w:ilvl w:val="0"/>
          <w:numId w:val="0"/>
        </w:numPr>
        <w:kinsoku/>
        <w:overflowPunct/>
        <w:autoSpaceDE/>
        <w:autoSpaceDN/>
        <w:bidi w:val="0"/>
        <w:adjustRightInd/>
        <w:snapToGrid/>
        <w:spacing w:line="360" w:lineRule="exact"/>
        <w:ind w:leftChars="0"/>
        <w:jc w:val="both"/>
        <w:textAlignment w:val="auto"/>
        <w:rPr>
          <w:rFonts w:hint="eastAsia"/>
          <w:color w:val="FF0000"/>
          <w:szCs w:val="22"/>
        </w:rPr>
      </w:pPr>
    </w:p>
    <w:p w14:paraId="1C514E39">
      <w:pPr>
        <w:keepNext w:val="0"/>
        <w:keepLines w:val="0"/>
        <w:pageBreakBefore w:val="0"/>
        <w:numPr>
          <w:ilvl w:val="0"/>
          <w:numId w:val="0"/>
        </w:numPr>
        <w:kinsoku/>
        <w:overflowPunct/>
        <w:autoSpaceDE/>
        <w:autoSpaceDN/>
        <w:bidi w:val="0"/>
        <w:adjustRightInd/>
        <w:snapToGrid/>
        <w:spacing w:line="360" w:lineRule="exact"/>
        <w:ind w:leftChars="0"/>
        <w:jc w:val="both"/>
        <w:textAlignment w:val="auto"/>
        <w:rPr>
          <w:rFonts w:hint="eastAsia"/>
          <w:color w:val="FF0000"/>
          <w:szCs w:val="22"/>
        </w:rPr>
      </w:pPr>
    </w:p>
    <w:p w14:paraId="389337C3">
      <w:pPr>
        <w:keepNext w:val="0"/>
        <w:keepLines w:val="0"/>
        <w:pageBreakBefore w:val="0"/>
        <w:numPr>
          <w:ilvl w:val="0"/>
          <w:numId w:val="0"/>
        </w:numPr>
        <w:kinsoku/>
        <w:overflowPunct/>
        <w:autoSpaceDE/>
        <w:autoSpaceDN/>
        <w:bidi w:val="0"/>
        <w:adjustRightInd/>
        <w:snapToGrid/>
        <w:spacing w:line="360" w:lineRule="exact"/>
        <w:ind w:leftChars="0"/>
        <w:jc w:val="both"/>
        <w:textAlignment w:val="auto"/>
        <w:rPr>
          <w:rFonts w:hint="eastAsia"/>
          <w:color w:val="FF0000"/>
          <w:szCs w:val="22"/>
        </w:rPr>
      </w:pPr>
    </w:p>
    <w:p w14:paraId="679AB3A4">
      <w:pPr>
        <w:keepNext w:val="0"/>
        <w:keepLines w:val="0"/>
        <w:pageBreakBefore w:val="0"/>
        <w:numPr>
          <w:ilvl w:val="0"/>
          <w:numId w:val="0"/>
        </w:numPr>
        <w:kinsoku/>
        <w:overflowPunct/>
        <w:autoSpaceDE/>
        <w:autoSpaceDN/>
        <w:bidi w:val="0"/>
        <w:adjustRightInd/>
        <w:snapToGrid/>
        <w:spacing w:line="360" w:lineRule="exact"/>
        <w:ind w:leftChars="0"/>
        <w:jc w:val="both"/>
        <w:textAlignment w:val="auto"/>
        <w:rPr>
          <w:rFonts w:hint="eastAsia"/>
          <w:color w:val="FF0000"/>
          <w:szCs w:val="22"/>
        </w:rPr>
      </w:pPr>
    </w:p>
    <w:p w14:paraId="42597DD5">
      <w:pPr>
        <w:keepNext w:val="0"/>
        <w:keepLines w:val="0"/>
        <w:pageBreakBefore w:val="0"/>
        <w:numPr>
          <w:ilvl w:val="0"/>
          <w:numId w:val="0"/>
        </w:numPr>
        <w:kinsoku/>
        <w:overflowPunct/>
        <w:autoSpaceDE/>
        <w:autoSpaceDN/>
        <w:bidi w:val="0"/>
        <w:adjustRightInd/>
        <w:snapToGrid/>
        <w:spacing w:line="360" w:lineRule="exact"/>
        <w:ind w:leftChars="0"/>
        <w:jc w:val="both"/>
        <w:textAlignment w:val="auto"/>
        <w:rPr>
          <w:rFonts w:hint="eastAsia"/>
          <w:color w:val="FF0000"/>
          <w:szCs w:val="22"/>
        </w:rPr>
      </w:pPr>
    </w:p>
    <w:p w14:paraId="1CBA9900">
      <w:pPr>
        <w:rPr>
          <w:rFonts w:hint="eastAsia"/>
          <w:b/>
          <w:bCs/>
          <w:color w:val="FF0000"/>
          <w:sz w:val="32"/>
          <w:szCs w:val="32"/>
        </w:rPr>
      </w:pPr>
      <w:r>
        <w:rPr>
          <w:rFonts w:hint="eastAsia"/>
          <w:b/>
          <w:bCs/>
          <w:color w:val="FF0000"/>
          <w:sz w:val="32"/>
          <w:szCs w:val="32"/>
          <w:lang w:val="en-US" w:eastAsia="zh-CN"/>
        </w:rPr>
        <w:br w:type="page"/>
      </w:r>
    </w:p>
    <w:p w14:paraId="0AA43459">
      <w:pPr>
        <w:pStyle w:val="4"/>
        <w:keepNext w:val="0"/>
        <w:keepLines w:val="0"/>
        <w:pageBreakBefore w:val="0"/>
        <w:numPr>
          <w:ilvl w:val="0"/>
          <w:numId w:val="1"/>
        </w:numPr>
        <w:shd w:val="clear" w:color="auto" w:fill="FFFFFF"/>
        <w:kinsoku/>
        <w:overflowPunct/>
        <w:topLinePunct/>
        <w:autoSpaceDE/>
        <w:autoSpaceDN/>
        <w:bidi w:val="0"/>
        <w:adjustRightInd/>
        <w:snapToGrid/>
        <w:spacing w:before="0" w:beforeAutospacing="0" w:after="75" w:afterAutospacing="0" w:line="360" w:lineRule="exact"/>
        <w:ind w:left="0" w:leftChars="0" w:firstLine="0" w:firstLineChars="0"/>
        <w:jc w:val="center"/>
        <w:textAlignment w:val="auto"/>
        <w:rPr>
          <w:rFonts w:hint="eastAsia"/>
          <w:b/>
          <w:bCs/>
          <w:color w:val="000000"/>
          <w:sz w:val="32"/>
          <w:szCs w:val="32"/>
        </w:rPr>
      </w:pPr>
      <w:r>
        <w:rPr>
          <w:rFonts w:hint="eastAsia"/>
          <w:b/>
          <w:bCs/>
          <w:color w:val="000000"/>
          <w:sz w:val="32"/>
          <w:szCs w:val="32"/>
          <w:lang w:val="en-US" w:eastAsia="zh-CN"/>
        </w:rPr>
        <w:t>“理解当代中国”英语短视频评分标准</w:t>
      </w:r>
      <w:r>
        <w:rPr>
          <w:rFonts w:hint="eastAsia"/>
          <w:b/>
          <w:bCs/>
          <w:color w:val="000000"/>
          <w:sz w:val="32"/>
          <w:szCs w:val="32"/>
        </w:rPr>
        <w:t>（满分100分）</w:t>
      </w:r>
    </w:p>
    <w:p w14:paraId="5F3CF431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Times New Roman" w:hAnsi="Times New Roman" w:eastAsia="宋体" w:cs="Times New Roman"/>
          <w:color w:val="000000"/>
          <w:sz w:val="24"/>
          <w:szCs w:val="28"/>
        </w:rPr>
      </w:pPr>
    </w:p>
    <w:p w14:paraId="121D13A5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color w:val="000000"/>
          <w:sz w:val="24"/>
          <w:szCs w:val="28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8"/>
        </w:rPr>
        <w:t>作品必须为原创，严禁剽窃、抄袭，一经发现立即取消参评资格。参加活动的学生应确认拥有作品的著作权。作品的配乐、音效、特效等素材由参加活动者自行添加，并保证提交的视频不侵犯第三方受法律保护的各种权益。作品自行拍摄部分需占视频总时长80%以上。如利用其他视频素材的，需加工、剪辑合成一段最终版视频后参评。</w:t>
      </w:r>
    </w:p>
    <w:p w14:paraId="3BB3EE91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color w:val="000000"/>
          <w:sz w:val="24"/>
          <w:szCs w:val="28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8"/>
        </w:rPr>
        <w:t>作品内容必须积极健康向上，以真实生活为创作素材，积极传播正能量，不得涉及色情、暴力与种族歧视等内容，不得违反国家政策法规。</w:t>
      </w:r>
    </w:p>
    <w:p w14:paraId="66913EC1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color w:val="000000"/>
          <w:sz w:val="24"/>
          <w:szCs w:val="28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8"/>
        </w:rPr>
        <w:t>根据国家相关法律法规，作品及辅助资料中如涉及地图（含地球仪），请登录标准地图服务系统（http://bzdt.ch.mnr.gov.cn/index.html）下载，并标注审图号，如需使用国旗和国徽图案，请登录中国政府网（http://www.gov.cn）下载标准版本，并注明引用出处。</w:t>
      </w:r>
    </w:p>
    <w:p w14:paraId="756C7326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color w:val="FF0000"/>
          <w:sz w:val="24"/>
          <w:szCs w:val="28"/>
        </w:r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5"/>
        <w:gridCol w:w="6447"/>
      </w:tblGrid>
      <w:tr w14:paraId="79C6C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539158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kern w:val="2"/>
                <w:sz w:val="24"/>
                <w:szCs w:val="24"/>
                <w:woUserID w:val="3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"/>
                <w:woUserID w:val="3"/>
              </w:rPr>
              <w:t>评分维度</w:t>
            </w:r>
          </w:p>
        </w:tc>
        <w:tc>
          <w:tcPr>
            <w:tcW w:w="6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6C2DE4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kern w:val="2"/>
                <w:sz w:val="24"/>
                <w:szCs w:val="24"/>
                <w:woUserID w:val="3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"/>
                <w:woUserID w:val="3"/>
              </w:rPr>
              <w:t>评分标准</w:t>
            </w:r>
          </w:p>
        </w:tc>
      </w:tr>
      <w:tr w14:paraId="07C9A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720" w:hRule="atLeast"/>
        </w:trPr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778A6C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4"/>
                <w:szCs w:val="24"/>
                <w:woUserID w:val="3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"/>
                <w:woUserID w:val="3"/>
              </w:rPr>
              <w:t>视频内容</w:t>
            </w:r>
            <w:r>
              <w:rPr>
                <w:rFonts w:hint="default" w:ascii="Times New Roman" w:hAnsi="Times New Roman" w:eastAsia="宋体" w:cs="Times New Roman"/>
                <w:b w:val="0"/>
                <w:kern w:val="2"/>
                <w:sz w:val="24"/>
                <w:szCs w:val="24"/>
                <w:lang w:val="en-US" w:eastAsia="zh-CN" w:bidi="ar"/>
                <w:woUserID w:val="3"/>
              </w:rPr>
              <w:t>50%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"/>
                <w:woUserID w:val="3"/>
              </w:rPr>
              <w:t>）</w:t>
            </w:r>
          </w:p>
        </w:tc>
        <w:tc>
          <w:tcPr>
            <w:tcW w:w="6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8DF9BD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b w:val="0"/>
                <w:kern w:val="2"/>
                <w:sz w:val="21"/>
                <w:szCs w:val="21"/>
                <w:woUserID w:val="3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1"/>
                <w:szCs w:val="21"/>
                <w:lang w:val="en-US" w:eastAsia="zh-CN" w:bidi="ar"/>
                <w:woUserID w:val="3"/>
              </w:rPr>
              <w:t>紧扣主题，创意新颖，阐述充分；选材恰当，适合国际传播；原创作品，</w:t>
            </w:r>
            <w:r>
              <w:rPr>
                <w:rFonts w:hint="eastAsia" w:ascii="宋体" w:hAnsi="宋体" w:cs="宋体"/>
                <w:b w:val="0"/>
                <w:kern w:val="2"/>
                <w:sz w:val="21"/>
                <w:szCs w:val="21"/>
                <w:lang w:val="en-US" w:eastAsia="zh-CN" w:bidi="ar"/>
                <w:woUserID w:val="3"/>
              </w:rPr>
              <w:t>无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kern w:val="2"/>
                <w:sz w:val="21"/>
                <w:szCs w:val="21"/>
                <w:lang w:val="en-US" w:eastAsia="zh-CN" w:bidi="ar"/>
                <w:woUserID w:val="3"/>
              </w:rPr>
              <w:t>侵权、无政治性问题。</w:t>
            </w:r>
          </w:p>
        </w:tc>
      </w:tr>
      <w:tr w14:paraId="71F50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685" w:hRule="atLeast"/>
        </w:trPr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AA4ACF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4"/>
                <w:szCs w:val="24"/>
                <w:woUserID w:val="3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"/>
                <w:woUserID w:val="3"/>
              </w:rPr>
              <w:t>语言表达（</w:t>
            </w:r>
            <w:r>
              <w:rPr>
                <w:rFonts w:hint="default" w:ascii="Times New Roman" w:hAnsi="Times New Roman" w:eastAsia="宋体" w:cs="Times New Roman"/>
                <w:b w:val="0"/>
                <w:kern w:val="2"/>
                <w:sz w:val="24"/>
                <w:szCs w:val="24"/>
                <w:lang w:val="en-US" w:eastAsia="zh-CN" w:bidi="ar"/>
                <w:woUserID w:val="3"/>
              </w:rPr>
              <w:t>30%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"/>
                <w:woUserID w:val="3"/>
              </w:rPr>
              <w:t>）</w:t>
            </w:r>
          </w:p>
        </w:tc>
        <w:tc>
          <w:tcPr>
            <w:tcW w:w="6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9248F3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1"/>
                <w:szCs w:val="21"/>
                <w:woUserID w:val="3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1"/>
                <w:szCs w:val="21"/>
                <w:lang w:val="en-US" w:eastAsia="zh-CN" w:bidi="ar"/>
                <w:woUserID w:val="3"/>
              </w:rPr>
              <w:t>发音清晰准确，语流连贯；语法准确，句式灵活；表述得体地道，条例清晰；受众定位清晰，</w:t>
            </w:r>
          </w:p>
        </w:tc>
      </w:tr>
      <w:tr w14:paraId="2C37F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03EB70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4"/>
                <w:szCs w:val="24"/>
                <w:woUserID w:val="3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"/>
                <w:woUserID w:val="3"/>
              </w:rPr>
              <w:t>制作技术（</w:t>
            </w:r>
            <w:r>
              <w:rPr>
                <w:rFonts w:hint="default" w:ascii="Times New Roman" w:hAnsi="Times New Roman" w:eastAsia="宋体" w:cs="Times New Roman"/>
                <w:b w:val="0"/>
                <w:kern w:val="2"/>
                <w:sz w:val="24"/>
                <w:szCs w:val="24"/>
                <w:lang w:val="en-US" w:eastAsia="zh-CN" w:bidi="ar"/>
                <w:woUserID w:val="3"/>
              </w:rPr>
              <w:t>20%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"/>
                <w:woUserID w:val="3"/>
              </w:rPr>
              <w:t>）</w:t>
            </w:r>
          </w:p>
        </w:tc>
        <w:tc>
          <w:tcPr>
            <w:tcW w:w="6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38E6DB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1"/>
                <w:szCs w:val="21"/>
                <w:woUserID w:val="3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1"/>
                <w:szCs w:val="21"/>
                <w:lang w:val="en-US" w:eastAsia="zh-CN" w:bidi="ar"/>
                <w:woUserID w:val="3"/>
              </w:rPr>
              <w:t>画面清晰稳定，合理运镜，恰当转场；背景音乐、特效符合内容表达；镜头语言有逻辑性。</w:t>
            </w:r>
          </w:p>
        </w:tc>
      </w:tr>
    </w:tbl>
    <w:p w14:paraId="29FC609A">
      <w:pPr>
        <w:keepNext w:val="0"/>
        <w:keepLines w:val="0"/>
        <w:pageBreakBefore w:val="0"/>
        <w:numPr>
          <w:ilvl w:val="0"/>
          <w:numId w:val="0"/>
        </w:numPr>
        <w:kinsoku/>
        <w:overflowPunct/>
        <w:autoSpaceDE/>
        <w:autoSpaceDN/>
        <w:bidi w:val="0"/>
        <w:adjustRightInd/>
        <w:snapToGrid/>
        <w:spacing w:line="360" w:lineRule="exact"/>
        <w:ind w:leftChars="0"/>
        <w:jc w:val="both"/>
        <w:textAlignment w:val="auto"/>
        <w:rPr>
          <w:rFonts w:hint="eastAsia"/>
          <w:color w:val="FF0000"/>
          <w:szCs w:val="22"/>
        </w:rPr>
      </w:pPr>
    </w:p>
    <w:p w14:paraId="236D9C47">
      <w:pPr>
        <w:keepNext w:val="0"/>
        <w:keepLines w:val="0"/>
        <w:pageBreakBefore w:val="0"/>
        <w:numPr>
          <w:ilvl w:val="0"/>
          <w:numId w:val="0"/>
        </w:numPr>
        <w:kinsoku/>
        <w:overflowPunct/>
        <w:autoSpaceDE/>
        <w:autoSpaceDN/>
        <w:bidi w:val="0"/>
        <w:adjustRightInd/>
        <w:snapToGrid/>
        <w:spacing w:line="360" w:lineRule="exact"/>
        <w:ind w:leftChars="0"/>
        <w:jc w:val="both"/>
        <w:textAlignment w:val="auto"/>
        <w:rPr>
          <w:rFonts w:hint="eastAsia"/>
          <w:color w:val="FF0000"/>
          <w:szCs w:val="22"/>
        </w:rPr>
      </w:pPr>
    </w:p>
    <w:p w14:paraId="36D1EE2F">
      <w:pPr>
        <w:keepNext w:val="0"/>
        <w:keepLines w:val="0"/>
        <w:pageBreakBefore w:val="0"/>
        <w:numPr>
          <w:ilvl w:val="0"/>
          <w:numId w:val="0"/>
        </w:numPr>
        <w:kinsoku/>
        <w:overflowPunct/>
        <w:autoSpaceDE/>
        <w:autoSpaceDN/>
        <w:bidi w:val="0"/>
        <w:adjustRightInd/>
        <w:snapToGrid/>
        <w:spacing w:line="360" w:lineRule="exact"/>
        <w:ind w:leftChars="0"/>
        <w:jc w:val="both"/>
        <w:textAlignment w:val="auto"/>
        <w:rPr>
          <w:rFonts w:hint="eastAsia"/>
          <w:color w:val="FF0000"/>
          <w:szCs w:val="22"/>
        </w:rPr>
      </w:pPr>
    </w:p>
    <w:p w14:paraId="51A6A126">
      <w:pPr>
        <w:keepNext w:val="0"/>
        <w:keepLines w:val="0"/>
        <w:pageBreakBefore w:val="0"/>
        <w:numPr>
          <w:ilvl w:val="0"/>
          <w:numId w:val="0"/>
        </w:numPr>
        <w:kinsoku/>
        <w:overflowPunct/>
        <w:autoSpaceDE/>
        <w:autoSpaceDN/>
        <w:bidi w:val="0"/>
        <w:adjustRightInd/>
        <w:snapToGrid/>
        <w:spacing w:line="360" w:lineRule="exact"/>
        <w:ind w:leftChars="0"/>
        <w:jc w:val="both"/>
        <w:textAlignment w:val="auto"/>
        <w:rPr>
          <w:rFonts w:hint="eastAsia"/>
          <w:color w:val="FF0000"/>
          <w:szCs w:val="22"/>
        </w:rPr>
      </w:pPr>
    </w:p>
    <w:p w14:paraId="22A1952B">
      <w:pPr>
        <w:keepNext w:val="0"/>
        <w:keepLines w:val="0"/>
        <w:pageBreakBefore w:val="0"/>
        <w:numPr>
          <w:ilvl w:val="0"/>
          <w:numId w:val="0"/>
        </w:numPr>
        <w:kinsoku/>
        <w:overflowPunct/>
        <w:autoSpaceDE/>
        <w:autoSpaceDN/>
        <w:bidi w:val="0"/>
        <w:adjustRightInd/>
        <w:snapToGrid/>
        <w:spacing w:line="360" w:lineRule="exact"/>
        <w:ind w:leftChars="0"/>
        <w:jc w:val="both"/>
        <w:textAlignment w:val="auto"/>
        <w:rPr>
          <w:rFonts w:hint="eastAsia"/>
          <w:color w:val="FF0000"/>
          <w:szCs w:val="22"/>
        </w:rPr>
      </w:pPr>
    </w:p>
    <w:p w14:paraId="32E57A23">
      <w:pPr>
        <w:keepNext w:val="0"/>
        <w:keepLines w:val="0"/>
        <w:pageBreakBefore w:val="0"/>
        <w:numPr>
          <w:ilvl w:val="0"/>
          <w:numId w:val="0"/>
        </w:numPr>
        <w:kinsoku/>
        <w:overflowPunct/>
        <w:autoSpaceDE/>
        <w:autoSpaceDN/>
        <w:bidi w:val="0"/>
        <w:adjustRightInd/>
        <w:snapToGrid/>
        <w:spacing w:line="360" w:lineRule="exact"/>
        <w:ind w:leftChars="0"/>
        <w:jc w:val="both"/>
        <w:textAlignment w:val="auto"/>
        <w:rPr>
          <w:rFonts w:hint="eastAsia"/>
          <w:color w:val="FF0000"/>
          <w:szCs w:val="22"/>
        </w:rPr>
      </w:pPr>
    </w:p>
    <w:p w14:paraId="397D1D82">
      <w:pPr>
        <w:keepNext w:val="0"/>
        <w:keepLines w:val="0"/>
        <w:pageBreakBefore w:val="0"/>
        <w:numPr>
          <w:ilvl w:val="0"/>
          <w:numId w:val="0"/>
        </w:numPr>
        <w:kinsoku/>
        <w:overflowPunct/>
        <w:autoSpaceDE/>
        <w:autoSpaceDN/>
        <w:bidi w:val="0"/>
        <w:adjustRightInd/>
        <w:snapToGrid/>
        <w:spacing w:line="360" w:lineRule="exact"/>
        <w:ind w:leftChars="0"/>
        <w:jc w:val="both"/>
        <w:textAlignment w:val="auto"/>
        <w:rPr>
          <w:rFonts w:hint="eastAsia"/>
          <w:color w:val="FF0000"/>
          <w:szCs w:val="22"/>
        </w:rPr>
      </w:pPr>
    </w:p>
    <w:p w14:paraId="2074826E">
      <w:pPr>
        <w:keepNext w:val="0"/>
        <w:keepLines w:val="0"/>
        <w:pageBreakBefore w:val="0"/>
        <w:numPr>
          <w:ilvl w:val="0"/>
          <w:numId w:val="0"/>
        </w:numPr>
        <w:kinsoku/>
        <w:overflowPunct/>
        <w:autoSpaceDE/>
        <w:autoSpaceDN/>
        <w:bidi w:val="0"/>
        <w:adjustRightInd/>
        <w:snapToGrid/>
        <w:spacing w:line="360" w:lineRule="exact"/>
        <w:ind w:leftChars="0"/>
        <w:jc w:val="both"/>
        <w:textAlignment w:val="auto"/>
        <w:rPr>
          <w:rFonts w:hint="eastAsia"/>
          <w:color w:val="FF0000"/>
          <w:szCs w:val="22"/>
        </w:rPr>
      </w:pPr>
    </w:p>
    <w:p w14:paraId="6466E0D7">
      <w:pPr>
        <w:pStyle w:val="4"/>
        <w:keepNext w:val="0"/>
        <w:keepLines w:val="0"/>
        <w:pageBreakBefore w:val="0"/>
        <w:numPr>
          <w:ilvl w:val="0"/>
          <w:numId w:val="1"/>
        </w:numPr>
        <w:shd w:val="clear" w:color="auto" w:fill="FFFFFF"/>
        <w:kinsoku/>
        <w:overflowPunct/>
        <w:topLinePunct/>
        <w:autoSpaceDE/>
        <w:autoSpaceDN/>
        <w:bidi w:val="0"/>
        <w:adjustRightInd/>
        <w:snapToGrid/>
        <w:spacing w:before="0" w:beforeAutospacing="0" w:after="75" w:afterAutospacing="0" w:line="360" w:lineRule="exact"/>
        <w:ind w:left="0" w:leftChars="0" w:firstLine="0" w:firstLineChars="0"/>
        <w:jc w:val="center"/>
        <w:textAlignment w:val="auto"/>
        <w:rPr>
          <w:rFonts w:hint="eastAsia"/>
          <w:b/>
          <w:bCs/>
          <w:color w:val="000000"/>
          <w:sz w:val="32"/>
          <w:szCs w:val="32"/>
        </w:rPr>
      </w:pPr>
      <w:r>
        <w:rPr>
          <w:rFonts w:hint="eastAsia"/>
          <w:color w:val="FF0000"/>
          <w:szCs w:val="22"/>
        </w:rPr>
        <w:br w:type="page"/>
      </w:r>
      <w:r>
        <w:rPr>
          <w:rFonts w:hint="eastAsia"/>
          <w:b/>
          <w:bCs/>
          <w:color w:val="000000"/>
          <w:sz w:val="32"/>
          <w:szCs w:val="32"/>
          <w:lang w:val="en-US" w:eastAsia="zh-CN"/>
        </w:rPr>
        <w:t>“理解当代中国”四新专项评分标准</w:t>
      </w:r>
      <w:r>
        <w:rPr>
          <w:rFonts w:hint="eastAsia"/>
          <w:b/>
          <w:bCs/>
          <w:color w:val="000000"/>
          <w:sz w:val="32"/>
          <w:szCs w:val="32"/>
        </w:rPr>
        <w:t>（满分100分）</w:t>
      </w:r>
    </w:p>
    <w:p w14:paraId="16C0F86E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color w:val="000000"/>
          <w:sz w:val="24"/>
          <w:szCs w:val="28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8"/>
        </w:rPr>
        <w:t>本评分标准从研究价值、跨学科性、学术规范、思辨创新、语言表达与国际传播五个维度，全面评估选手在“四新”领域提出中国方案的学术深度、创新潜力与国际传播能力。</w:t>
      </w:r>
    </w:p>
    <w:p w14:paraId="606E98CD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360" w:lineRule="exact"/>
        <w:textAlignment w:val="auto"/>
        <w:rPr>
          <w:color w:val="000000"/>
        </w:rPr>
      </w:pPr>
    </w:p>
    <w:tbl>
      <w:tblPr>
        <w:tblStyle w:val="5"/>
        <w:tblW w:w="86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10"/>
        <w:gridCol w:w="822"/>
        <w:gridCol w:w="5586"/>
      </w:tblGrid>
      <w:tr w14:paraId="43929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188" w:hRule="atLeast"/>
          <w:tblHeader/>
        </w:trPr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2A6DF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评价维度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CDAE5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分值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1C1A6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lang w:val="en-US"/>
              </w:rPr>
              <w:t>评 价 标 准</w:t>
            </w:r>
          </w:p>
        </w:tc>
      </w:tr>
      <w:tr w14:paraId="3B81F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731" w:hRule="atLeast"/>
        </w:trPr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04838F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研究价值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464E8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D4FE6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选题真实、具体，具有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重要的研究意义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与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紧迫的现实必要性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；紧扣全球性议题与“四新”领域，体现对中国成就与理念的深刻理解，能够回应国家战略需求。</w:t>
            </w:r>
          </w:p>
        </w:tc>
      </w:tr>
      <w:tr w14:paraId="72F3E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731" w:hRule="atLeast"/>
        </w:trPr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FC04C17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跨学科性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46BC0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3D863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深度融合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两个及以上“四新”学科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（新工科、新医科、新农科、新文科），跨学科逻辑清晰，知识整合自然有力，体现出对前沿领域动态的跨视角把握。</w:t>
            </w:r>
          </w:p>
        </w:tc>
      </w:tr>
      <w:tr w14:paraId="50131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664" w:hRule="atLeast"/>
        </w:trPr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CFD47D0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 w:line="300" w:lineRule="atLeas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学术规范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D1A5E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EA3A5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调研设计科学、可行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，步骤清晰完整（含调研对象、方法、工具、数据分析等）；数据来源可靠，分析过程严谨；报告结构完整，引用规范。</w:t>
            </w:r>
          </w:p>
        </w:tc>
      </w:tr>
      <w:tr w14:paraId="70853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188" w:hRule="atLeast"/>
        </w:trPr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1FCA9F3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 w:line="300" w:lineRule="atLeas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思辨创新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9484C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0253C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思辨能力强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：能够多角度、多层次分析问题，逻辑严密，论据充分；提出的中国方案具有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原创性与突破性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，超越常见思路，体现批判性思维与独立见解。</w:t>
            </w:r>
          </w:p>
        </w:tc>
      </w:tr>
      <w:tr w14:paraId="19C42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731" w:hRule="atLeast"/>
        </w:trPr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9F2E476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 w:line="300" w:lineRule="atLeas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语言表达与国际传播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609CE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F4E4A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语言表达精准、地道、符合学术规范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；能够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准确阐释中国理念与实践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；逻辑清晰，具有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国际传播力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，适合向全球受众讲好中国故事、传播中国方案。</w:t>
            </w:r>
          </w:p>
        </w:tc>
      </w:tr>
    </w:tbl>
    <w:p w14:paraId="5BCBA869">
      <w:pPr>
        <w:pStyle w:val="4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overflowPunct/>
        <w:topLinePunct/>
        <w:autoSpaceDE/>
        <w:autoSpaceDN/>
        <w:bidi w:val="0"/>
        <w:adjustRightInd/>
        <w:snapToGrid/>
        <w:spacing w:before="0" w:beforeAutospacing="0" w:after="75" w:afterAutospacing="0" w:line="360" w:lineRule="exact"/>
        <w:ind w:leftChars="0"/>
        <w:jc w:val="both"/>
        <w:textAlignment w:val="auto"/>
        <w:rPr>
          <w:rFonts w:hint="eastAsia"/>
          <w:b/>
          <w:bCs/>
          <w:color w:val="000000"/>
          <w:sz w:val="32"/>
          <w:szCs w:val="32"/>
        </w:rPr>
      </w:pPr>
    </w:p>
    <w:p w14:paraId="1CD873AA">
      <w:pPr>
        <w:rPr>
          <w:rFonts w:hint="eastAsia" w:eastAsia="宋体"/>
          <w:color w:val="FF0000"/>
          <w:szCs w:val="22"/>
          <w:lang w:val="en-US" w:eastAsia="zh-CN"/>
        </w:rPr>
      </w:pPr>
      <w:r>
        <w:rPr>
          <w:rFonts w:hint="eastAsia"/>
          <w:color w:val="FF0000"/>
          <w:szCs w:val="22"/>
        </w:rPr>
        <w:br w:type="page"/>
      </w:r>
    </w:p>
    <w:p w14:paraId="6CA9B53C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color w:val="FF0000"/>
          <w:szCs w:val="22"/>
        </w:rPr>
      </w:pPr>
    </w:p>
    <w:p w14:paraId="6A69BB85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/>
          <w:b/>
          <w:bCs/>
          <w:color w:val="auto"/>
          <w:sz w:val="32"/>
          <w:szCs w:val="32"/>
        </w:rPr>
      </w:pPr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t>七、</w:t>
      </w:r>
      <w:r>
        <w:rPr>
          <w:rFonts w:hint="eastAsia"/>
          <w:b/>
          <w:bCs/>
          <w:color w:val="auto"/>
          <w:sz w:val="32"/>
          <w:szCs w:val="32"/>
        </w:rPr>
        <w:t>“理解当代中国”英语诵读</w:t>
      </w:r>
      <w:r>
        <w:rPr>
          <w:rFonts w:hint="eastAsia"/>
          <w:b/>
          <w:bCs/>
          <w:color w:val="auto"/>
          <w:sz w:val="32"/>
          <w:szCs w:val="32"/>
          <w:lang w:eastAsia="zh-CN"/>
        </w:rPr>
        <w:t>比赛</w:t>
      </w:r>
      <w:r>
        <w:rPr>
          <w:rFonts w:hint="eastAsia"/>
          <w:b/>
          <w:bCs/>
          <w:color w:val="auto"/>
          <w:sz w:val="32"/>
          <w:szCs w:val="32"/>
        </w:rPr>
        <w:t>评分标准（满分100分）</w:t>
      </w:r>
    </w:p>
    <w:p w14:paraId="2D53351B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/>
          <w:b/>
          <w:bCs/>
          <w:color w:val="auto"/>
          <w:sz w:val="32"/>
          <w:szCs w:val="32"/>
        </w:rPr>
      </w:pPr>
    </w:p>
    <w:tbl>
      <w:tblPr>
        <w:tblStyle w:val="5"/>
        <w:tblW w:w="910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1"/>
        <w:gridCol w:w="6625"/>
        <w:gridCol w:w="1022"/>
      </w:tblGrid>
      <w:tr w14:paraId="4E1FC9CE">
        <w:trPr>
          <w:trHeight w:val="637" w:hRule="atLeast"/>
        </w:trPr>
        <w:tc>
          <w:tcPr>
            <w:tcW w:w="14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BF2E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宋体" w:hAnsi="宋体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</w:rPr>
              <w:t>评分项目</w:t>
            </w:r>
          </w:p>
        </w:tc>
        <w:tc>
          <w:tcPr>
            <w:tcW w:w="66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1A51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宋体" w:hAnsi="宋体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</w:rPr>
              <w:t>评分标准</w:t>
            </w:r>
          </w:p>
        </w:tc>
        <w:tc>
          <w:tcPr>
            <w:tcW w:w="10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75FD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宋体" w:hAnsi="宋体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</w:rPr>
              <w:t>分数</w:t>
            </w:r>
          </w:p>
        </w:tc>
      </w:tr>
      <w:tr w14:paraId="4F34CCFC">
        <w:trPr>
          <w:trHeight w:val="929" w:hRule="atLeast"/>
        </w:trPr>
        <w:tc>
          <w:tcPr>
            <w:tcW w:w="1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504D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3FA9841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作品内容</w:t>
            </w:r>
          </w:p>
        </w:tc>
        <w:tc>
          <w:tcPr>
            <w:tcW w:w="6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603E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0368599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选材内容符合比赛要求，主题进取向上，具有一定教育意义。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0483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分</w:t>
            </w:r>
          </w:p>
        </w:tc>
      </w:tr>
      <w:tr w14:paraId="2A520AB2">
        <w:trPr>
          <w:trHeight w:val="1441" w:hRule="atLeast"/>
        </w:trPr>
        <w:tc>
          <w:tcPr>
            <w:tcW w:w="146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8F70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诵读形式</w:t>
            </w:r>
          </w:p>
        </w:tc>
        <w:tc>
          <w:tcPr>
            <w:tcW w:w="662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FB1D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形式灵活新颖，令人耳目一新。</w:t>
            </w:r>
          </w:p>
          <w:p w14:paraId="7A7259B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如有配乐，配乐与所朗诵篇章意境吻合，节奏和谐。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CF67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分</w:t>
            </w:r>
          </w:p>
        </w:tc>
      </w:tr>
      <w:tr w14:paraId="4B244F3A">
        <w:trPr>
          <w:trHeight w:val="1164" w:hRule="atLeast"/>
        </w:trPr>
        <w:tc>
          <w:tcPr>
            <w:tcW w:w="146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5029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240" w:firstLineChars="100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语言技巧</w:t>
            </w:r>
          </w:p>
        </w:tc>
        <w:tc>
          <w:tcPr>
            <w:tcW w:w="662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2165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语音标准、表达流畅，嗓音条件较好，声音圆润悦耳，语速得当。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1A7B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宋体" w:hAns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35分</w:t>
            </w:r>
          </w:p>
        </w:tc>
      </w:tr>
      <w:tr w14:paraId="04BC1731">
        <w:trPr>
          <w:trHeight w:val="1245" w:hRule="atLeast"/>
        </w:trPr>
        <w:tc>
          <w:tcPr>
            <w:tcW w:w="146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CA18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台风与仪态</w:t>
            </w:r>
          </w:p>
          <w:p w14:paraId="450B753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662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EC04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台风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大方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，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衣着得体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、肢体语言、面部表情、手势动作等搭配自然得当。</w:t>
            </w:r>
          </w:p>
          <w:p w14:paraId="573F7AA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FA2E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分</w:t>
            </w:r>
          </w:p>
        </w:tc>
      </w:tr>
      <w:tr w14:paraId="11585A03">
        <w:trPr>
          <w:trHeight w:val="904" w:hRule="atLeast"/>
        </w:trPr>
        <w:tc>
          <w:tcPr>
            <w:tcW w:w="146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B5C1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240" w:firstLineChars="100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总体效果</w:t>
            </w:r>
          </w:p>
        </w:tc>
        <w:tc>
          <w:tcPr>
            <w:tcW w:w="662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0242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感情充沛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，表现力、感染力强，现场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效果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好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，能与现场观众产生共鸣。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08E1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分</w:t>
            </w:r>
          </w:p>
        </w:tc>
      </w:tr>
    </w:tbl>
    <w:p w14:paraId="24C81A54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/>
          <w:b/>
          <w:bCs/>
          <w:color w:val="auto"/>
          <w:sz w:val="32"/>
          <w:szCs w:val="32"/>
        </w:rPr>
      </w:pPr>
    </w:p>
    <w:p w14:paraId="177B10EA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color w:val="auto"/>
          <w:szCs w:val="22"/>
        </w:rPr>
      </w:pPr>
    </w:p>
    <w:p w14:paraId="51FA4AE7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/>
          <w:bCs/>
          <w:color w:val="FF0000"/>
          <w:sz w:val="32"/>
          <w:szCs w:val="32"/>
          <w:lang w:val="en-US" w:eastAsia="zh-CN"/>
        </w:rPr>
        <w:br w:type="page"/>
      </w:r>
    </w:p>
    <w:p w14:paraId="72059ADC">
      <w:pPr>
        <w:keepNext w:val="0"/>
        <w:keepLines w:val="0"/>
        <w:pageBreakBefore w:val="0"/>
        <w:numPr>
          <w:ilvl w:val="0"/>
          <w:numId w:val="0"/>
        </w:numPr>
        <w:kinsoku/>
        <w:overflowPunct/>
        <w:autoSpaceDE/>
        <w:autoSpaceDN/>
        <w:bidi w:val="0"/>
        <w:adjustRightInd/>
        <w:snapToGrid/>
        <w:spacing w:line="360" w:lineRule="exact"/>
        <w:ind w:leftChars="0"/>
        <w:jc w:val="center"/>
        <w:textAlignment w:val="auto"/>
        <w:rPr>
          <w:rFonts w:hint="eastAsia"/>
          <w:b/>
          <w:bCs/>
          <w:color w:val="auto"/>
          <w:sz w:val="32"/>
          <w:szCs w:val="32"/>
        </w:rPr>
      </w:pPr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t>八、</w:t>
      </w:r>
      <w:r>
        <w:rPr>
          <w:rFonts w:hint="eastAsia"/>
          <w:b/>
          <w:bCs/>
          <w:color w:val="auto"/>
          <w:sz w:val="32"/>
          <w:szCs w:val="32"/>
        </w:rPr>
        <w:t>“理解当代中国”英语口译评分标准（满分100分）</w:t>
      </w:r>
    </w:p>
    <w:p w14:paraId="026B01BD"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480" w:firstLineChars="200"/>
        <w:rPr>
          <w:color w:val="auto"/>
          <w:woUserID w:val="8"/>
        </w:rPr>
      </w:pPr>
      <w:r>
        <w:rPr>
          <w:color w:val="auto"/>
          <w:woUserID w:val="8"/>
        </w:rPr>
        <w:t>为全面考查参赛选手的口译综合能力，“理解当代中国”口译大赛校赛评分标准从内容传达的忠实性与完整性、语言表达的规范性、口译技能的专业性及选手的整体职业素养四个方面进行评估。评分标准强调“忠实传达内容、清晰表达意义、展现专业素养”的口译核心要求，同时鼓励选手结合语境灵活应对，展现对当代中国主题的深度理解与跨文化传递能力。评委将根据各评分维度分别打分，最终得分为各项加权之和。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0C6D2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</w:tcPr>
          <w:p w14:paraId="2D9F6FD2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  <w:woUserID w:val="8"/>
              </w:rPr>
            </w:pPr>
            <w:r>
              <w:rPr>
                <w:rFonts w:hint="default" w:ascii="宋体" w:hAnsi="宋体" w:eastAsia="宋体" w:cs="宋体"/>
                <w:b/>
                <w:color w:val="auto"/>
                <w:kern w:val="0"/>
                <w:sz w:val="21"/>
                <w:szCs w:val="21"/>
                <w:lang w:val="en-US" w:eastAsia="zh-CN" w:bidi="ar"/>
                <w:woUserID w:val="8"/>
              </w:rPr>
              <w:t>评分维度</w:t>
            </w:r>
          </w:p>
        </w:tc>
        <w:tc>
          <w:tcPr>
            <w:tcW w:w="2841" w:type="dxa"/>
          </w:tcPr>
          <w:p w14:paraId="701D438C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  <w:woUserID w:val="8"/>
              </w:rPr>
            </w:pPr>
            <w:r>
              <w:rPr>
                <w:rFonts w:hint="default" w:ascii="宋体" w:hAnsi="宋体" w:eastAsia="宋体" w:cs="宋体"/>
                <w:b/>
                <w:color w:val="auto"/>
                <w:kern w:val="0"/>
                <w:sz w:val="21"/>
                <w:szCs w:val="21"/>
                <w:lang w:val="en-US" w:eastAsia="zh-CN" w:bidi="ar"/>
                <w:woUserID w:val="8"/>
              </w:rPr>
              <w:t>权重</w:t>
            </w:r>
          </w:p>
        </w:tc>
        <w:tc>
          <w:tcPr>
            <w:tcW w:w="2841" w:type="dxa"/>
          </w:tcPr>
          <w:p w14:paraId="00B206C9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  <w:woUserID w:val="8"/>
              </w:rPr>
            </w:pPr>
            <w:r>
              <w:rPr>
                <w:rFonts w:hint="default" w:ascii="宋体" w:hAnsi="宋体" w:eastAsia="宋体" w:cs="宋体"/>
                <w:b/>
                <w:color w:val="auto"/>
                <w:kern w:val="0"/>
                <w:sz w:val="21"/>
                <w:szCs w:val="21"/>
                <w:lang w:val="en-US" w:eastAsia="zh-CN" w:bidi="ar"/>
                <w:woUserID w:val="8"/>
              </w:rPr>
              <w:t>评分要点</w:t>
            </w:r>
          </w:p>
        </w:tc>
      </w:tr>
      <w:tr w14:paraId="56F81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</w:tcPr>
          <w:p w14:paraId="6DA4D2F5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woUserID w:val="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  <w:woUserID w:val="8"/>
              </w:rPr>
              <w:t>一、忠实与完整（Faithfulness &amp; Completeness）</w:t>
            </w:r>
          </w:p>
        </w:tc>
        <w:tc>
          <w:tcPr>
            <w:tcW w:w="2841" w:type="dxa"/>
          </w:tcPr>
          <w:p w14:paraId="5F6C8749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woUserID w:val="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  <w:woUserID w:val="8"/>
              </w:rPr>
              <w:t>40分</w:t>
            </w:r>
          </w:p>
        </w:tc>
        <w:tc>
          <w:tcPr>
            <w:tcW w:w="2841" w:type="dxa"/>
          </w:tcPr>
          <w:p w14:paraId="4D8A94F1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woUserID w:val="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  <w:woUserID w:val="8"/>
              </w:rPr>
              <w:t>- 准确传达讲话原意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  <w:woUserID w:val="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  <w:woUserID w:val="8"/>
              </w:rPr>
              <w:t>- 信息传递完整，无明显遗漏或曲解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  <w:woUserID w:val="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  <w:woUserID w:val="8"/>
              </w:rPr>
              <w:t>- 逻辑顺畅、结构清晰</w:t>
            </w:r>
          </w:p>
        </w:tc>
      </w:tr>
      <w:tr w14:paraId="39EAE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</w:tcPr>
          <w:p w14:paraId="72CCAF8A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woUserID w:val="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  <w:woUserID w:val="8"/>
              </w:rPr>
              <w:t>二、语言表达（Language Expression）</w:t>
            </w:r>
          </w:p>
        </w:tc>
        <w:tc>
          <w:tcPr>
            <w:tcW w:w="2841" w:type="dxa"/>
          </w:tcPr>
          <w:p w14:paraId="625CE698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woUserID w:val="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  <w:woUserID w:val="8"/>
              </w:rPr>
              <w:t>25分</w:t>
            </w:r>
          </w:p>
        </w:tc>
        <w:tc>
          <w:tcPr>
            <w:tcW w:w="2841" w:type="dxa"/>
          </w:tcPr>
          <w:p w14:paraId="3C5583D0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woUserID w:val="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  <w:woUserID w:val="8"/>
              </w:rPr>
              <w:t>- 听记与转换能力强，语速适中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  <w:woUserID w:val="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  <w:woUserID w:val="8"/>
              </w:rPr>
              <w:t>- 语音清晰，语调自然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  <w:woUserID w:val="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  <w:woUserID w:val="8"/>
              </w:rPr>
              <w:t>- 有效使用停顿与连接手段增强理解</w:t>
            </w:r>
          </w:p>
        </w:tc>
      </w:tr>
      <w:tr w14:paraId="5E95E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</w:tcPr>
          <w:p w14:paraId="468161A6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woUserID w:val="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  <w:woUserID w:val="8"/>
              </w:rPr>
              <w:t>三、口译技能（Interpreting Technique）</w:t>
            </w:r>
          </w:p>
        </w:tc>
        <w:tc>
          <w:tcPr>
            <w:tcW w:w="2841" w:type="dxa"/>
          </w:tcPr>
          <w:p w14:paraId="37717852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woUserID w:val="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  <w:woUserID w:val="8"/>
              </w:rPr>
              <w:t>20分</w:t>
            </w:r>
          </w:p>
        </w:tc>
        <w:tc>
          <w:tcPr>
            <w:tcW w:w="2841" w:type="dxa"/>
          </w:tcPr>
          <w:p w14:paraId="7CAB40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vanish/>
                <w:color w:val="auto"/>
                <w:sz w:val="24"/>
                <w:szCs w:val="24"/>
                <w:woUserID w:val="8"/>
              </w:rPr>
            </w:pPr>
          </w:p>
          <w:p w14:paraId="55019E2F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woUserID w:val="8"/>
              </w:rPr>
            </w:pPr>
            <w:r>
              <w:rPr>
                <w:rFonts w:hint="eastAsia" w:cs="宋体"/>
                <w:color w:val="auto"/>
                <w:kern w:val="0"/>
                <w:sz w:val="24"/>
                <w:szCs w:val="24"/>
                <w:lang w:val="en-US" w:eastAsia="zh-CN" w:bidi="ar"/>
                <w:woUserID w:val="8"/>
              </w:rPr>
              <w:t xml:space="preserve">-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  <w:woUserID w:val="8"/>
              </w:rPr>
              <w:t>听记与转换能力强，语速适中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  <w:woUserID w:val="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  <w:woUserID w:val="8"/>
              </w:rPr>
              <w:t>- 语音清晰，语调自然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  <w:woUserID w:val="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  <w:woUserID w:val="8"/>
              </w:rPr>
              <w:t>- 有效使用停顿与连接手段增强理解</w:t>
            </w:r>
          </w:p>
        </w:tc>
      </w:tr>
      <w:tr w14:paraId="51992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</w:tcPr>
          <w:p w14:paraId="5689C669">
            <w:pPr>
              <w:pStyle w:val="4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1" w:after="0" w:afterAutospacing="1"/>
              <w:ind w:left="0" w:right="0"/>
              <w:rPr>
                <w:rFonts w:hint="eastAsia" w:ascii="宋体" w:hAnsi="宋体" w:eastAsia="宋体" w:cs="宋体"/>
                <w:color w:val="auto"/>
                <w:sz w:val="24"/>
                <w:szCs w:val="24"/>
                <w:woUserID w:val="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woUserID w:val="8"/>
              </w:rPr>
              <w:t>职业素养（Professionalism）</w:t>
            </w:r>
          </w:p>
          <w:p w14:paraId="03A89EEA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/>
              <w:ind w:left="0" w:right="0" w:rightChars="0"/>
              <w:rPr>
                <w:rFonts w:hint="eastAsia" w:ascii="宋体" w:hAnsi="宋体" w:eastAsia="宋体" w:cs="宋体"/>
                <w:color w:val="auto"/>
                <w:sz w:val="24"/>
                <w:szCs w:val="24"/>
                <w:woUserID w:val="8"/>
              </w:rPr>
            </w:pPr>
          </w:p>
        </w:tc>
        <w:tc>
          <w:tcPr>
            <w:tcW w:w="2841" w:type="dxa"/>
          </w:tcPr>
          <w:p w14:paraId="60C7E562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woUserID w:val="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woUserID w:val="8"/>
              </w:rPr>
              <w:t>15分</w:t>
            </w:r>
          </w:p>
        </w:tc>
        <w:tc>
          <w:tcPr>
            <w:tcW w:w="2841" w:type="dxa"/>
          </w:tcPr>
          <w:p w14:paraId="03A919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woUserID w:val="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  <w:woUserID w:val="8"/>
              </w:rPr>
              <w:t>- 仪表得体，表达自信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  <w:woUserID w:val="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  <w:woUserID w:val="8"/>
              </w:rPr>
              <w:t>- 有听众意识与应变能力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  <w:woUserID w:val="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  <w:woUserID w:val="8"/>
              </w:rPr>
              <w:t xml:space="preserve">- 表现出良好的职业态度和团队意识 </w:t>
            </w:r>
          </w:p>
          <w:p w14:paraId="4F6E5025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woUserID w:val="8"/>
              </w:rPr>
            </w:pPr>
          </w:p>
        </w:tc>
      </w:tr>
    </w:tbl>
    <w:p w14:paraId="518880A2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/>
          <w:b/>
          <w:bCs/>
          <w:color w:val="auto"/>
          <w:sz w:val="32"/>
          <w:szCs w:val="32"/>
        </w:rPr>
      </w:pPr>
    </w:p>
    <w:p w14:paraId="7A1ABB7B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/>
          <w:b/>
          <w:bCs/>
          <w:color w:val="auto"/>
          <w:sz w:val="32"/>
          <w:szCs w:val="32"/>
        </w:rPr>
      </w:pPr>
    </w:p>
    <w:p w14:paraId="7D8DF0B5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/>
          <w:b/>
          <w:bCs/>
          <w:color w:val="auto"/>
          <w:sz w:val="32"/>
          <w:szCs w:val="32"/>
        </w:rPr>
      </w:pPr>
      <w:r>
        <w:rPr>
          <w:rFonts w:hint="eastAsia"/>
          <w:b/>
          <w:bCs/>
          <w:color w:val="auto"/>
          <w:sz w:val="32"/>
          <w:szCs w:val="32"/>
        </w:rPr>
        <w:br w:type="page"/>
      </w:r>
    </w:p>
    <w:p w14:paraId="72C07C7D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/>
          <w:b/>
          <w:bCs/>
          <w:color w:val="000000"/>
          <w:sz w:val="32"/>
          <w:szCs w:val="32"/>
        </w:rPr>
      </w:pPr>
      <w:r>
        <w:rPr>
          <w:rFonts w:hint="eastAsia"/>
          <w:b/>
          <w:bCs/>
          <w:color w:val="000000"/>
          <w:sz w:val="32"/>
          <w:szCs w:val="32"/>
          <w:lang w:val="en-US" w:eastAsia="zh-CN"/>
        </w:rPr>
        <w:t>九、产品市场调研</w:t>
      </w:r>
      <w:r>
        <w:rPr>
          <w:rFonts w:hint="eastAsia"/>
          <w:b/>
          <w:bCs/>
          <w:color w:val="000000"/>
          <w:sz w:val="32"/>
          <w:szCs w:val="32"/>
        </w:rPr>
        <w:t>评分标准（满分100分）</w:t>
      </w:r>
    </w:p>
    <w:p w14:paraId="0ABF0689">
      <w:pPr>
        <w:keepNext w:val="0"/>
        <w:keepLines w:val="0"/>
        <w:pageBreakBefore w:val="0"/>
        <w:numPr>
          <w:ilvl w:val="0"/>
          <w:numId w:val="0"/>
        </w:numPr>
        <w:kinsoku/>
        <w:overflowPunct/>
        <w:autoSpaceDE/>
        <w:autoSpaceDN/>
        <w:bidi w:val="0"/>
        <w:adjustRightInd/>
        <w:snapToGrid/>
        <w:spacing w:line="360" w:lineRule="exact"/>
        <w:textAlignment w:val="auto"/>
        <w:rPr>
          <w:color w:val="000000"/>
        </w:rPr>
      </w:pPr>
    </w:p>
    <w:p w14:paraId="0CD7B3AD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  <w:t>评审依据：1. 语言应用能力； 2. 国际贸易知识应用能力； 3. 市场调研报告要点掌握能力； 4. 汇报现场表现与应变能力。</w:t>
      </w:r>
    </w:p>
    <w:p w14:paraId="24692F92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  <w:t>评委将根据内容、语言和演讲三个方面评选，评分细则如下：</w:t>
      </w:r>
    </w:p>
    <w:p w14:paraId="43F3B728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/>
          <w:color w:val="000000"/>
          <w:sz w:val="24"/>
          <w:szCs w:val="24"/>
        </w:rPr>
      </w:pPr>
    </w:p>
    <w:tbl>
      <w:tblPr>
        <w:tblStyle w:val="5"/>
        <w:tblW w:w="703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8"/>
        <w:gridCol w:w="2342"/>
        <w:gridCol w:w="2301"/>
      </w:tblGrid>
      <w:tr w14:paraId="7B776A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rPr>
          <w:trHeight w:val="423" w:hRule="atLeast"/>
          <w:jc w:val="center"/>
        </w:trPr>
        <w:tc>
          <w:tcPr>
            <w:tcW w:w="23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9AAD8BE">
            <w:pPr>
              <w:keepNext w:val="0"/>
              <w:keepLines w:val="0"/>
              <w:pageBreakBefore w:val="0"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Microsoft YaHei UI" w:cs="Times New Roman"/>
                <w:b/>
                <w:bCs/>
                <w:color w:val="000000"/>
                <w:spacing w:val="8"/>
                <w:kern w:val="0"/>
                <w:sz w:val="24"/>
                <w:szCs w:val="24"/>
              </w:rPr>
              <w:t>Content</w:t>
            </w:r>
          </w:p>
        </w:tc>
        <w:tc>
          <w:tcPr>
            <w:tcW w:w="2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A392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150"/>
              <w:jc w:val="center"/>
              <w:textAlignment w:val="auto"/>
              <w:rPr>
                <w:rFonts w:hint="default" w:ascii="Times New Roman" w:hAnsi="Times New Roman" w:eastAsia="Microsoft YaHei UI" w:cs="Times New Roman"/>
                <w:color w:val="000000"/>
                <w:spacing w:val="8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Microsoft YaHei UI" w:cs="Times New Roman"/>
                <w:b/>
                <w:bCs/>
                <w:color w:val="000000"/>
                <w:spacing w:val="8"/>
                <w:kern w:val="0"/>
                <w:sz w:val="24"/>
                <w:szCs w:val="24"/>
              </w:rPr>
              <w:t>English Language</w:t>
            </w:r>
          </w:p>
        </w:tc>
        <w:tc>
          <w:tcPr>
            <w:tcW w:w="2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640C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150"/>
              <w:jc w:val="center"/>
              <w:textAlignment w:val="auto"/>
              <w:rPr>
                <w:rFonts w:hint="default" w:ascii="Times New Roman" w:hAnsi="Times New Roman" w:eastAsia="Microsoft YaHei UI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Microsoft YaHei UI" w:cs="Times New Roman"/>
                <w:b/>
                <w:bCs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Speech</w:t>
            </w:r>
          </w:p>
        </w:tc>
      </w:tr>
      <w:tr w14:paraId="6FCF85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rPr>
          <w:trHeight w:val="1618" w:hRule="atLeast"/>
          <w:jc w:val="center"/>
        </w:trPr>
        <w:tc>
          <w:tcPr>
            <w:tcW w:w="23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17F38A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50" w:right="150"/>
              <w:jc w:val="center"/>
              <w:textAlignment w:val="auto"/>
              <w:rPr>
                <w:rFonts w:hint="default" w:ascii="Times New Roman" w:hAnsi="Times New Roman" w:eastAsia="Microsoft YaHei UI" w:cs="Times New Roman"/>
                <w:color w:val="000000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Microsoft YaHei UI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E</w:t>
            </w:r>
            <w:r>
              <w:rPr>
                <w:rFonts w:hint="default" w:ascii="Times New Roman" w:hAnsi="Times New Roman" w:eastAsia="Microsoft YaHei UI" w:cs="Times New Roman"/>
                <w:color w:val="000000"/>
                <w:spacing w:val="8"/>
                <w:kern w:val="0"/>
                <w:sz w:val="24"/>
                <w:szCs w:val="24"/>
              </w:rPr>
              <w:t>ffectiveness</w:t>
            </w:r>
          </w:p>
          <w:p w14:paraId="64C0ADD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50" w:right="150"/>
              <w:jc w:val="center"/>
              <w:textAlignment w:val="auto"/>
              <w:rPr>
                <w:rFonts w:hint="default" w:ascii="Times New Roman" w:hAnsi="Times New Roman" w:eastAsia="Microsoft YaHei UI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12E1E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50" w:right="150"/>
              <w:jc w:val="center"/>
              <w:textAlignment w:val="auto"/>
              <w:rPr>
                <w:rFonts w:hint="default" w:ascii="Times New Roman" w:hAnsi="Times New Roman" w:eastAsia="Microsoft YaHei UI" w:cs="Times New Roman"/>
                <w:color w:val="000000"/>
                <w:spacing w:val="8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Microsoft YaHei UI" w:cs="Times New Roman"/>
                <w:color w:val="000000"/>
                <w:spacing w:val="8"/>
                <w:kern w:val="0"/>
                <w:sz w:val="24"/>
                <w:szCs w:val="24"/>
              </w:rPr>
              <w:t>Creativity</w:t>
            </w:r>
          </w:p>
          <w:p w14:paraId="145D0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50" w:right="150"/>
              <w:jc w:val="center"/>
              <w:textAlignment w:val="auto"/>
              <w:rPr>
                <w:rFonts w:hint="default" w:ascii="Times New Roman" w:hAnsi="Times New Roman" w:eastAsia="Microsoft YaHei UI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167B3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50" w:right="150"/>
              <w:jc w:val="center"/>
              <w:textAlignment w:val="auto"/>
              <w:rPr>
                <w:rFonts w:hint="default" w:ascii="Times New Roman" w:hAnsi="Times New Roman" w:eastAsia="Microsoft YaHei UI" w:cs="Times New Roman"/>
                <w:color w:val="000000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Microsoft YaHei UI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M</w:t>
            </w:r>
            <w:r>
              <w:rPr>
                <w:rFonts w:hint="default" w:ascii="Times New Roman" w:hAnsi="Times New Roman" w:eastAsia="Microsoft YaHei UI" w:cs="Times New Roman"/>
                <w:color w:val="000000"/>
                <w:spacing w:val="8"/>
                <w:kern w:val="0"/>
                <w:sz w:val="24"/>
                <w:szCs w:val="24"/>
              </w:rPr>
              <w:t>essage</w:t>
            </w:r>
          </w:p>
          <w:p w14:paraId="08894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50" w:right="150"/>
              <w:jc w:val="center"/>
              <w:textAlignment w:val="auto"/>
              <w:rPr>
                <w:rFonts w:hint="default" w:ascii="Times New Roman" w:hAnsi="Times New Roman" w:eastAsia="Microsoft YaHei UI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1D93E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50" w:right="150"/>
              <w:jc w:val="center"/>
              <w:textAlignment w:val="auto"/>
              <w:rPr>
                <w:rFonts w:hint="default" w:ascii="Times New Roman" w:hAnsi="Times New Roman" w:eastAsia="Microsoft YaHei UI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Microsoft YaHei UI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Professional knowledge</w:t>
            </w:r>
          </w:p>
          <w:p w14:paraId="1C05B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50" w:right="150"/>
              <w:jc w:val="center"/>
              <w:textAlignment w:val="auto"/>
              <w:rPr>
                <w:rFonts w:hint="default" w:ascii="Times New Roman" w:hAnsi="Times New Roman" w:eastAsia="Microsoft YaHei UI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34755FF">
            <w:pPr>
              <w:pStyle w:val="4"/>
              <w:keepNext w:val="0"/>
              <w:keepLines w:val="0"/>
              <w:pageBreakBefore w:val="0"/>
              <w:suppressLineNumbers w:val="0"/>
              <w:shd w:val="clear" w:color="auto" w:fill="FFFFFF"/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Microsoft YaHei UI" w:cs="Times New Roman"/>
                <w:color w:val="000000"/>
                <w:spacing w:val="8"/>
                <w:sz w:val="24"/>
                <w:szCs w:val="24"/>
              </w:rPr>
            </w:pPr>
            <w:r>
              <w:rPr>
                <w:rFonts w:hint="default" w:ascii="Times New Roman" w:hAnsi="Times New Roman" w:eastAsia="Microsoft YaHei UI" w:cs="Times New Roman"/>
                <w:color w:val="000000"/>
                <w:spacing w:val="8"/>
                <w:sz w:val="24"/>
                <w:szCs w:val="24"/>
              </w:rPr>
              <w:t>Pronunciation</w:t>
            </w:r>
          </w:p>
          <w:p w14:paraId="0949ADC9">
            <w:pPr>
              <w:pStyle w:val="4"/>
              <w:keepNext w:val="0"/>
              <w:keepLines w:val="0"/>
              <w:pageBreakBefore w:val="0"/>
              <w:suppressLineNumbers w:val="0"/>
              <w:shd w:val="clear" w:color="auto" w:fill="FFFFFF"/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Microsoft YaHei UI" w:cs="Times New Roman"/>
                <w:color w:val="000000"/>
                <w:spacing w:val="8"/>
                <w:sz w:val="24"/>
                <w:szCs w:val="24"/>
              </w:rPr>
            </w:pPr>
          </w:p>
          <w:p w14:paraId="4D01DBAD">
            <w:pPr>
              <w:pStyle w:val="4"/>
              <w:keepNext w:val="0"/>
              <w:keepLines w:val="0"/>
              <w:pageBreakBefore w:val="0"/>
              <w:suppressLineNumbers w:val="0"/>
              <w:shd w:val="clear" w:color="auto" w:fill="FFFFFF"/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Microsoft YaHei UI" w:cs="Times New Roman"/>
                <w:color w:val="000000"/>
                <w:spacing w:val="8"/>
                <w:sz w:val="24"/>
                <w:szCs w:val="24"/>
              </w:rPr>
            </w:pPr>
            <w:r>
              <w:rPr>
                <w:rFonts w:hint="default" w:ascii="Times New Roman" w:hAnsi="Times New Roman" w:eastAsia="Microsoft YaHei UI" w:cs="Times New Roman"/>
                <w:color w:val="000000"/>
                <w:spacing w:val="8"/>
                <w:sz w:val="24"/>
                <w:szCs w:val="24"/>
              </w:rPr>
              <w:t>Fluency</w:t>
            </w:r>
          </w:p>
          <w:p w14:paraId="083C4016">
            <w:pPr>
              <w:pStyle w:val="4"/>
              <w:keepNext w:val="0"/>
              <w:keepLines w:val="0"/>
              <w:pageBreakBefore w:val="0"/>
              <w:suppressLineNumbers w:val="0"/>
              <w:shd w:val="clear" w:color="auto" w:fill="FFFFFF"/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Microsoft YaHei UI" w:cs="Times New Roman"/>
                <w:color w:val="000000"/>
                <w:spacing w:val="8"/>
                <w:sz w:val="24"/>
                <w:szCs w:val="24"/>
              </w:rPr>
            </w:pPr>
          </w:p>
          <w:p w14:paraId="64C01DA2">
            <w:pPr>
              <w:pStyle w:val="4"/>
              <w:keepNext w:val="0"/>
              <w:keepLines w:val="0"/>
              <w:pageBreakBefore w:val="0"/>
              <w:suppressLineNumbers w:val="0"/>
              <w:shd w:val="clear" w:color="auto" w:fill="FFFFFF"/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Microsoft YaHei UI" w:cs="Times New Roman"/>
                <w:color w:val="000000"/>
                <w:spacing w:val="8"/>
                <w:sz w:val="24"/>
                <w:szCs w:val="24"/>
              </w:rPr>
            </w:pPr>
            <w:r>
              <w:rPr>
                <w:rFonts w:hint="default" w:ascii="Times New Roman" w:hAnsi="Times New Roman" w:eastAsia="Microsoft YaHei UI" w:cs="Times New Roman"/>
                <w:color w:val="000000"/>
                <w:spacing w:val="8"/>
                <w:sz w:val="24"/>
                <w:szCs w:val="24"/>
              </w:rPr>
              <w:t>Accuracy</w:t>
            </w:r>
          </w:p>
          <w:p w14:paraId="75278038">
            <w:pPr>
              <w:pStyle w:val="4"/>
              <w:keepNext w:val="0"/>
              <w:keepLines w:val="0"/>
              <w:pageBreakBefore w:val="0"/>
              <w:suppressLineNumbers w:val="0"/>
              <w:shd w:val="clear" w:color="auto" w:fill="FFFFFF"/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Microsoft YaHei UI" w:cs="Times New Roman"/>
                <w:color w:val="000000"/>
                <w:spacing w:val="8"/>
                <w:sz w:val="24"/>
                <w:szCs w:val="24"/>
              </w:rPr>
            </w:pPr>
          </w:p>
          <w:p w14:paraId="1BF169FA">
            <w:pPr>
              <w:pStyle w:val="4"/>
              <w:keepNext w:val="0"/>
              <w:keepLines w:val="0"/>
              <w:pageBreakBefore w:val="0"/>
              <w:suppressLineNumbers w:val="0"/>
              <w:shd w:val="clear" w:color="auto" w:fill="FFFFFF"/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Microsoft YaHei UI" w:cs="Times New Roman"/>
                <w:color w:val="000000"/>
                <w:spacing w:val="8"/>
                <w:sz w:val="24"/>
                <w:szCs w:val="24"/>
              </w:rPr>
            </w:pPr>
            <w:r>
              <w:rPr>
                <w:rFonts w:hint="eastAsia" w:ascii="Times New Roman" w:hAnsi="Times New Roman" w:eastAsia="Microsoft YaHei UI" w:cs="Times New Roman"/>
                <w:color w:val="000000"/>
                <w:spacing w:val="8"/>
                <w:sz w:val="24"/>
                <w:szCs w:val="24"/>
                <w:lang w:val="en-US" w:eastAsia="zh-CN"/>
              </w:rPr>
              <w:t>A</w:t>
            </w:r>
            <w:r>
              <w:rPr>
                <w:rFonts w:hint="default" w:ascii="Times New Roman" w:hAnsi="Times New Roman" w:eastAsia="Microsoft YaHei UI" w:cs="Times New Roman"/>
                <w:color w:val="000000"/>
                <w:spacing w:val="8"/>
                <w:sz w:val="24"/>
                <w:szCs w:val="24"/>
              </w:rPr>
              <w:t>ppropriateness</w:t>
            </w:r>
          </w:p>
        </w:tc>
        <w:tc>
          <w:tcPr>
            <w:tcW w:w="2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29D2470">
            <w:pPr>
              <w:pStyle w:val="4"/>
              <w:keepNext w:val="0"/>
              <w:keepLines w:val="0"/>
              <w:pageBreakBefore w:val="0"/>
              <w:suppressLineNumbers w:val="0"/>
              <w:shd w:val="clear" w:color="auto" w:fill="FFFFFF"/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Microsoft YaHei UI" w:cs="Times New Roman"/>
                <w:color w:val="000000"/>
                <w:spacing w:val="8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Microsoft YaHei UI" w:cs="Times New Roman"/>
                <w:color w:val="000000"/>
                <w:spacing w:val="8"/>
                <w:sz w:val="24"/>
                <w:szCs w:val="24"/>
                <w:lang w:val="en-US" w:eastAsia="zh-CN"/>
              </w:rPr>
              <w:t>Clarity</w:t>
            </w:r>
          </w:p>
          <w:p w14:paraId="0A62F6A6">
            <w:pPr>
              <w:pStyle w:val="4"/>
              <w:keepNext w:val="0"/>
              <w:keepLines w:val="0"/>
              <w:pageBreakBefore w:val="0"/>
              <w:suppressLineNumbers w:val="0"/>
              <w:shd w:val="clear" w:color="auto" w:fill="FFFFFF"/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Microsoft YaHei UI" w:cs="Times New Roman"/>
                <w:color w:val="000000"/>
                <w:spacing w:val="8"/>
                <w:sz w:val="24"/>
                <w:szCs w:val="24"/>
                <w:lang w:val="en-US" w:eastAsia="zh-CN"/>
              </w:rPr>
            </w:pPr>
          </w:p>
          <w:p w14:paraId="54A6C48B">
            <w:pPr>
              <w:pStyle w:val="4"/>
              <w:keepNext w:val="0"/>
              <w:keepLines w:val="0"/>
              <w:pageBreakBefore w:val="0"/>
              <w:suppressLineNumbers w:val="0"/>
              <w:shd w:val="clear" w:color="auto" w:fill="FFFFFF"/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Microsoft YaHei UI" w:cs="Times New Roman"/>
                <w:color w:val="000000"/>
                <w:spacing w:val="8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Microsoft YaHei UI" w:cs="Times New Roman"/>
                <w:color w:val="000000"/>
                <w:spacing w:val="8"/>
                <w:sz w:val="24"/>
                <w:szCs w:val="24"/>
                <w:lang w:val="en-US" w:eastAsia="zh-CN"/>
              </w:rPr>
              <w:t>Expression</w:t>
            </w:r>
          </w:p>
          <w:p w14:paraId="4329C163">
            <w:pPr>
              <w:pStyle w:val="4"/>
              <w:keepNext w:val="0"/>
              <w:keepLines w:val="0"/>
              <w:pageBreakBefore w:val="0"/>
              <w:suppressLineNumbers w:val="0"/>
              <w:shd w:val="clear" w:color="auto" w:fill="FFFFFF"/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Microsoft YaHei UI" w:cs="Times New Roman"/>
                <w:color w:val="000000"/>
                <w:spacing w:val="8"/>
                <w:sz w:val="24"/>
                <w:szCs w:val="24"/>
                <w:lang w:val="en-US" w:eastAsia="zh-CN"/>
              </w:rPr>
            </w:pPr>
          </w:p>
          <w:p w14:paraId="035FCBF1">
            <w:pPr>
              <w:pStyle w:val="4"/>
              <w:keepNext w:val="0"/>
              <w:keepLines w:val="0"/>
              <w:pageBreakBefore w:val="0"/>
              <w:suppressLineNumbers w:val="0"/>
              <w:shd w:val="clear" w:color="auto" w:fill="FFFFFF"/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Microsoft YaHei UI" w:cs="Times New Roman"/>
                <w:color w:val="000000"/>
                <w:spacing w:val="8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Microsoft YaHei UI" w:cs="Times New Roman"/>
                <w:color w:val="000000"/>
                <w:spacing w:val="8"/>
                <w:sz w:val="24"/>
                <w:szCs w:val="24"/>
                <w:lang w:val="en-US" w:eastAsia="zh-CN"/>
              </w:rPr>
              <w:t>Organization</w:t>
            </w:r>
          </w:p>
          <w:p w14:paraId="32F3D987">
            <w:pPr>
              <w:pStyle w:val="4"/>
              <w:keepNext w:val="0"/>
              <w:keepLines w:val="0"/>
              <w:pageBreakBefore w:val="0"/>
              <w:suppressLineNumbers w:val="0"/>
              <w:shd w:val="clear" w:color="auto" w:fill="FFFFFF"/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Microsoft YaHei UI" w:cs="Times New Roman"/>
                <w:color w:val="000000"/>
                <w:spacing w:val="8"/>
                <w:sz w:val="24"/>
                <w:szCs w:val="24"/>
                <w:lang w:val="en-US" w:eastAsia="zh-CN"/>
              </w:rPr>
            </w:pPr>
          </w:p>
          <w:p w14:paraId="7C290C40">
            <w:pPr>
              <w:pStyle w:val="4"/>
              <w:keepNext w:val="0"/>
              <w:keepLines w:val="0"/>
              <w:pageBreakBefore w:val="0"/>
              <w:suppressLineNumbers w:val="0"/>
              <w:shd w:val="clear" w:color="auto" w:fill="FFFFFF"/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Microsoft YaHei UI" w:cs="Times New Roman"/>
                <w:color w:val="000000"/>
                <w:spacing w:val="8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Microsoft YaHei UI" w:cs="Times New Roman"/>
                <w:color w:val="000000"/>
                <w:spacing w:val="8"/>
                <w:sz w:val="24"/>
                <w:szCs w:val="24"/>
                <w:lang w:val="en-US" w:eastAsia="zh-CN"/>
              </w:rPr>
              <w:t>Audience engagement</w:t>
            </w:r>
          </w:p>
          <w:p w14:paraId="04BA9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50" w:right="150"/>
              <w:jc w:val="center"/>
              <w:textAlignment w:val="auto"/>
              <w:rPr>
                <w:rFonts w:hint="default" w:ascii="Times New Roman" w:hAnsi="Times New Roman" w:eastAsia="Microsoft YaHei UI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5B474193">
            <w:pPr>
              <w:pStyle w:val="4"/>
              <w:keepNext w:val="0"/>
              <w:keepLines w:val="0"/>
              <w:pageBreakBefore w:val="0"/>
              <w:suppressLineNumbers w:val="0"/>
              <w:shd w:val="clear" w:color="auto" w:fill="FFFFFF"/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Microsoft YaHei UI" w:cs="Times New Roman"/>
                <w:color w:val="000000"/>
                <w:spacing w:val="8"/>
                <w:sz w:val="24"/>
                <w:szCs w:val="24"/>
              </w:rPr>
            </w:pPr>
          </w:p>
          <w:p w14:paraId="128C10C1">
            <w:pPr>
              <w:pStyle w:val="4"/>
              <w:keepNext w:val="0"/>
              <w:keepLines w:val="0"/>
              <w:pageBreakBefore w:val="0"/>
              <w:suppressLineNumbers w:val="0"/>
              <w:shd w:val="clear" w:color="auto" w:fill="FFFFFF"/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Microsoft YaHei UI" w:cs="Times New Roman"/>
                <w:color w:val="000000"/>
                <w:spacing w:val="8"/>
                <w:sz w:val="24"/>
                <w:szCs w:val="24"/>
              </w:rPr>
            </w:pPr>
          </w:p>
        </w:tc>
      </w:tr>
      <w:tr w14:paraId="078487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rPr>
          <w:trHeight w:val="449" w:hRule="atLeast"/>
          <w:jc w:val="center"/>
        </w:trPr>
        <w:tc>
          <w:tcPr>
            <w:tcW w:w="23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F3AA34D">
            <w:pPr>
              <w:keepNext w:val="0"/>
              <w:keepLines w:val="0"/>
              <w:pageBreakBefore w:val="0"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35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2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0DB2D14">
            <w:pPr>
              <w:keepNext w:val="0"/>
              <w:keepLines w:val="0"/>
              <w:pageBreakBefore w:val="0"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2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39DACF2">
            <w:pPr>
              <w:keepNext w:val="0"/>
              <w:keepLines w:val="0"/>
              <w:pageBreakBefore w:val="0"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35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</w:tbl>
    <w:p w14:paraId="52486347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360" w:lineRule="exact"/>
        <w:textAlignment w:val="auto"/>
        <w:rPr>
          <w:color w:val="FF0000"/>
        </w:rPr>
      </w:pPr>
    </w:p>
    <w:p w14:paraId="56203097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</w:pPr>
      <w:r>
        <w:rPr>
          <w:color w:val="FF0000"/>
        </w:rPr>
        <w:br w:type="page"/>
      </w:r>
    </w:p>
    <w:p w14:paraId="0CCFA48D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十、两笔字（硬笔、粉笔）评分标准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（满分100分）</w:t>
      </w:r>
    </w:p>
    <w:p w14:paraId="346A0D43">
      <w:pPr>
        <w:pStyle w:val="4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overflowPunct/>
        <w:topLinePunct/>
        <w:autoSpaceDE/>
        <w:autoSpaceDN/>
        <w:bidi w:val="0"/>
        <w:adjustRightInd/>
        <w:snapToGrid/>
        <w:spacing w:before="0" w:beforeAutospacing="0" w:after="75" w:afterAutospacing="0" w:line="360" w:lineRule="exact"/>
        <w:ind w:leftChars="0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tbl>
      <w:tblPr>
        <w:tblStyle w:val="5"/>
        <w:tblW w:w="92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5786"/>
        <w:gridCol w:w="1222"/>
        <w:gridCol w:w="1222"/>
      </w:tblGrid>
      <w:tr w14:paraId="42B71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0" w:hRule="atLeast"/>
          <w:jc w:val="center"/>
        </w:trPr>
        <w:tc>
          <w:tcPr>
            <w:tcW w:w="1012" w:type="dxa"/>
            <w:noWrap w:val="0"/>
            <w:vAlign w:val="top"/>
          </w:tcPr>
          <w:p w14:paraId="5E05978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eastAsia="zh-CN"/>
              </w:rPr>
              <w:t>项目</w:t>
            </w:r>
          </w:p>
        </w:tc>
        <w:tc>
          <w:tcPr>
            <w:tcW w:w="5786" w:type="dxa"/>
            <w:noWrap w:val="0"/>
            <w:vAlign w:val="top"/>
          </w:tcPr>
          <w:p w14:paraId="64CCF9A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评　分　标　准</w:t>
            </w:r>
          </w:p>
        </w:tc>
        <w:tc>
          <w:tcPr>
            <w:tcW w:w="1222" w:type="dxa"/>
            <w:noWrap w:val="0"/>
            <w:vAlign w:val="top"/>
          </w:tcPr>
          <w:p w14:paraId="624D119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分值</w:t>
            </w:r>
          </w:p>
        </w:tc>
        <w:tc>
          <w:tcPr>
            <w:tcW w:w="1222" w:type="dxa"/>
            <w:noWrap w:val="0"/>
            <w:vAlign w:val="top"/>
          </w:tcPr>
          <w:p w14:paraId="010FBF6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eastAsia="zh-CN"/>
              </w:rPr>
              <w:t>总分</w:t>
            </w:r>
          </w:p>
        </w:tc>
      </w:tr>
      <w:tr w14:paraId="645C4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9" w:hRule="atLeast"/>
          <w:jc w:val="center"/>
        </w:trPr>
        <w:tc>
          <w:tcPr>
            <w:tcW w:w="1012" w:type="dxa"/>
            <w:vMerge w:val="restart"/>
            <w:noWrap w:val="0"/>
            <w:vAlign w:val="top"/>
          </w:tcPr>
          <w:p w14:paraId="2C2D0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 w14:paraId="094DB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 w14:paraId="10C15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eastAsia="zh-CN"/>
              </w:rPr>
              <w:t>中文硬笔字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20%</w:t>
            </w:r>
          </w:p>
          <w:p w14:paraId="7D8E9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786" w:type="dxa"/>
            <w:noWrap w:val="0"/>
            <w:vAlign w:val="top"/>
          </w:tcPr>
          <w:p w14:paraId="3CC5FF6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笔画正确：点、横、竖、撇、捺等基本笔画合乎要求</w:t>
            </w:r>
          </w:p>
        </w:tc>
        <w:tc>
          <w:tcPr>
            <w:tcW w:w="1222" w:type="dxa"/>
            <w:noWrap w:val="0"/>
            <w:vAlign w:val="top"/>
          </w:tcPr>
          <w:p w14:paraId="433D8B7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20分</w:t>
            </w:r>
          </w:p>
        </w:tc>
        <w:tc>
          <w:tcPr>
            <w:tcW w:w="1222" w:type="dxa"/>
            <w:vMerge w:val="restart"/>
            <w:noWrap w:val="0"/>
            <w:vAlign w:val="top"/>
          </w:tcPr>
          <w:p w14:paraId="6793E92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13D0A6A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0447E81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153CFD1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20分</w:t>
            </w:r>
          </w:p>
        </w:tc>
      </w:tr>
      <w:tr w14:paraId="21F2F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1012" w:type="dxa"/>
            <w:vMerge w:val="continue"/>
            <w:noWrap w:val="0"/>
            <w:vAlign w:val="top"/>
          </w:tcPr>
          <w:p w14:paraId="1FC37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6" w:type="dxa"/>
            <w:noWrap w:val="0"/>
            <w:vAlign w:val="top"/>
          </w:tcPr>
          <w:p w14:paraId="0713C99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单字结构准确，字、行距得当。</w:t>
            </w:r>
          </w:p>
        </w:tc>
        <w:tc>
          <w:tcPr>
            <w:tcW w:w="1222" w:type="dxa"/>
            <w:noWrap w:val="0"/>
            <w:vAlign w:val="top"/>
          </w:tcPr>
          <w:p w14:paraId="53FB08B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20分</w:t>
            </w:r>
          </w:p>
        </w:tc>
        <w:tc>
          <w:tcPr>
            <w:tcW w:w="1222" w:type="dxa"/>
            <w:vMerge w:val="continue"/>
            <w:noWrap w:val="0"/>
            <w:vAlign w:val="top"/>
          </w:tcPr>
          <w:p w14:paraId="7D65B50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8365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9" w:hRule="atLeast"/>
          <w:jc w:val="center"/>
        </w:trPr>
        <w:tc>
          <w:tcPr>
            <w:tcW w:w="1012" w:type="dxa"/>
            <w:vMerge w:val="continue"/>
            <w:noWrap w:val="0"/>
            <w:vAlign w:val="top"/>
          </w:tcPr>
          <w:p w14:paraId="7819B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6" w:type="dxa"/>
            <w:noWrap w:val="0"/>
            <w:vAlign w:val="top"/>
          </w:tcPr>
          <w:p w14:paraId="36E3852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用笔精熟，上下左右呼应，起承转合自然。</w:t>
            </w:r>
          </w:p>
        </w:tc>
        <w:tc>
          <w:tcPr>
            <w:tcW w:w="1222" w:type="dxa"/>
            <w:noWrap w:val="0"/>
            <w:vAlign w:val="top"/>
          </w:tcPr>
          <w:p w14:paraId="2B65D7B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25分</w:t>
            </w:r>
          </w:p>
        </w:tc>
        <w:tc>
          <w:tcPr>
            <w:tcW w:w="1222" w:type="dxa"/>
            <w:vMerge w:val="continue"/>
            <w:noWrap w:val="0"/>
            <w:vAlign w:val="top"/>
          </w:tcPr>
          <w:p w14:paraId="520901B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57BB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9" w:hRule="atLeast"/>
          <w:jc w:val="center"/>
        </w:trPr>
        <w:tc>
          <w:tcPr>
            <w:tcW w:w="1012" w:type="dxa"/>
            <w:vMerge w:val="continue"/>
            <w:noWrap w:val="0"/>
            <w:vAlign w:val="top"/>
          </w:tcPr>
          <w:p w14:paraId="777D3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6" w:type="dxa"/>
            <w:noWrap w:val="0"/>
            <w:vAlign w:val="top"/>
          </w:tcPr>
          <w:p w14:paraId="049AA82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版面整洁，布局合理。</w:t>
            </w:r>
          </w:p>
        </w:tc>
        <w:tc>
          <w:tcPr>
            <w:tcW w:w="1222" w:type="dxa"/>
            <w:noWrap w:val="0"/>
            <w:vAlign w:val="top"/>
          </w:tcPr>
          <w:p w14:paraId="35A0C52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20分</w:t>
            </w:r>
          </w:p>
        </w:tc>
        <w:tc>
          <w:tcPr>
            <w:tcW w:w="1222" w:type="dxa"/>
            <w:vMerge w:val="continue"/>
            <w:noWrap w:val="0"/>
            <w:vAlign w:val="top"/>
          </w:tcPr>
          <w:p w14:paraId="20C7715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2BEC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1" w:hRule="atLeast"/>
          <w:jc w:val="center"/>
        </w:trPr>
        <w:tc>
          <w:tcPr>
            <w:tcW w:w="1012" w:type="dxa"/>
            <w:vMerge w:val="continue"/>
            <w:noWrap w:val="0"/>
            <w:vAlign w:val="top"/>
          </w:tcPr>
          <w:p w14:paraId="1D267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6" w:type="dxa"/>
            <w:noWrap w:val="0"/>
            <w:vAlign w:val="top"/>
          </w:tcPr>
          <w:p w14:paraId="58B3F53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书写内容完整、正确，无错别字。</w:t>
            </w:r>
          </w:p>
        </w:tc>
        <w:tc>
          <w:tcPr>
            <w:tcW w:w="1222" w:type="dxa"/>
            <w:noWrap w:val="0"/>
            <w:vAlign w:val="top"/>
          </w:tcPr>
          <w:p w14:paraId="7A1DDCC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15分</w:t>
            </w:r>
          </w:p>
        </w:tc>
        <w:tc>
          <w:tcPr>
            <w:tcW w:w="1222" w:type="dxa"/>
            <w:vMerge w:val="continue"/>
            <w:noWrap w:val="0"/>
            <w:vAlign w:val="top"/>
          </w:tcPr>
          <w:p w14:paraId="19F0F41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DC42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1" w:hRule="atLeast"/>
          <w:jc w:val="center"/>
        </w:trPr>
        <w:tc>
          <w:tcPr>
            <w:tcW w:w="1012" w:type="dxa"/>
            <w:vMerge w:val="restart"/>
            <w:noWrap w:val="0"/>
            <w:vAlign w:val="top"/>
          </w:tcPr>
          <w:p w14:paraId="39229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5357E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116C1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英文硬笔字</w:t>
            </w:r>
          </w:p>
          <w:p w14:paraId="097F3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40%</w:t>
            </w:r>
          </w:p>
        </w:tc>
        <w:tc>
          <w:tcPr>
            <w:tcW w:w="5786" w:type="dxa"/>
            <w:noWrap w:val="0"/>
            <w:vAlign w:val="top"/>
          </w:tcPr>
          <w:p w14:paraId="395AF40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整体效果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大小均匀、斜度一致，英文书写段首的缩进、单词转行和对齐等格式规范，标点符号格式正确，整体美观工整、书写速度快。</w:t>
            </w:r>
          </w:p>
        </w:tc>
        <w:tc>
          <w:tcPr>
            <w:tcW w:w="1222" w:type="dxa"/>
            <w:noWrap w:val="0"/>
            <w:vAlign w:val="top"/>
          </w:tcPr>
          <w:p w14:paraId="31DE665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36E0583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1222" w:type="dxa"/>
            <w:vMerge w:val="restart"/>
            <w:noWrap w:val="0"/>
            <w:vAlign w:val="top"/>
          </w:tcPr>
          <w:p w14:paraId="2AEE297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5BF81AE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54418E4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240" w:firstLineChars="1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40分</w:t>
            </w:r>
          </w:p>
        </w:tc>
      </w:tr>
      <w:tr w14:paraId="5C582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1" w:hRule="atLeast"/>
          <w:jc w:val="center"/>
        </w:trPr>
        <w:tc>
          <w:tcPr>
            <w:tcW w:w="1012" w:type="dxa"/>
            <w:vMerge w:val="continue"/>
            <w:noWrap w:val="0"/>
            <w:vAlign w:val="top"/>
          </w:tcPr>
          <w:p w14:paraId="60401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5786" w:type="dxa"/>
            <w:noWrap w:val="0"/>
            <w:vAlign w:val="top"/>
          </w:tcPr>
          <w:p w14:paraId="7B715AB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结构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书写平行整齐、间隔适度，连写方法正确、均匀流畅。</w:t>
            </w:r>
          </w:p>
        </w:tc>
        <w:tc>
          <w:tcPr>
            <w:tcW w:w="1222" w:type="dxa"/>
            <w:noWrap w:val="0"/>
            <w:vAlign w:val="top"/>
          </w:tcPr>
          <w:p w14:paraId="1A0875F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30分</w:t>
            </w:r>
          </w:p>
        </w:tc>
        <w:tc>
          <w:tcPr>
            <w:tcW w:w="1222" w:type="dxa"/>
            <w:vMerge w:val="continue"/>
            <w:noWrap w:val="0"/>
            <w:vAlign w:val="top"/>
          </w:tcPr>
          <w:p w14:paraId="19D2356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8FBD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1" w:hRule="atLeast"/>
          <w:jc w:val="center"/>
        </w:trPr>
        <w:tc>
          <w:tcPr>
            <w:tcW w:w="1012" w:type="dxa"/>
            <w:vMerge w:val="continue"/>
            <w:noWrap w:val="0"/>
            <w:vAlign w:val="top"/>
          </w:tcPr>
          <w:p w14:paraId="4EB22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5786" w:type="dxa"/>
            <w:noWrap w:val="0"/>
            <w:vAlign w:val="top"/>
          </w:tcPr>
          <w:p w14:paraId="6C08256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用笔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书写姿势正确，英文字母笔顺和连写笔顺规范。</w:t>
            </w:r>
          </w:p>
        </w:tc>
        <w:tc>
          <w:tcPr>
            <w:tcW w:w="1222" w:type="dxa"/>
            <w:noWrap w:val="0"/>
            <w:vAlign w:val="top"/>
          </w:tcPr>
          <w:p w14:paraId="146B455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30分</w:t>
            </w:r>
          </w:p>
        </w:tc>
        <w:tc>
          <w:tcPr>
            <w:tcW w:w="1222" w:type="dxa"/>
            <w:vMerge w:val="continue"/>
            <w:noWrap w:val="0"/>
            <w:vAlign w:val="top"/>
          </w:tcPr>
          <w:p w14:paraId="47A54C1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BC18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1" w:hRule="atLeast"/>
          <w:jc w:val="center"/>
        </w:trPr>
        <w:tc>
          <w:tcPr>
            <w:tcW w:w="1012" w:type="dxa"/>
            <w:vMerge w:val="restart"/>
            <w:noWrap w:val="0"/>
            <w:vAlign w:val="top"/>
          </w:tcPr>
          <w:p w14:paraId="05ADF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118E3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501E0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英文粉笔字</w:t>
            </w:r>
          </w:p>
          <w:p w14:paraId="3801C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40%</w:t>
            </w:r>
          </w:p>
        </w:tc>
        <w:tc>
          <w:tcPr>
            <w:tcW w:w="5786" w:type="dxa"/>
            <w:noWrap w:val="0"/>
            <w:vAlign w:val="top"/>
          </w:tcPr>
          <w:p w14:paraId="0F1F4A1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整体效果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大小均匀、斜度一致，英文书写段首的缩进、单词转行和对齐等格式规范，标点符号格式正确，整体美观工整、书写速度快。</w:t>
            </w:r>
          </w:p>
        </w:tc>
        <w:tc>
          <w:tcPr>
            <w:tcW w:w="1222" w:type="dxa"/>
            <w:noWrap w:val="0"/>
            <w:vAlign w:val="top"/>
          </w:tcPr>
          <w:p w14:paraId="692BE23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2D4E53A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1222" w:type="dxa"/>
            <w:vMerge w:val="restart"/>
            <w:noWrap w:val="0"/>
            <w:vAlign w:val="top"/>
          </w:tcPr>
          <w:p w14:paraId="1100E58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29DE93A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637AC23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25369B8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40分</w:t>
            </w:r>
          </w:p>
        </w:tc>
      </w:tr>
      <w:tr w14:paraId="108EE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1" w:hRule="atLeast"/>
          <w:jc w:val="center"/>
        </w:trPr>
        <w:tc>
          <w:tcPr>
            <w:tcW w:w="1012" w:type="dxa"/>
            <w:vMerge w:val="continue"/>
            <w:noWrap w:val="0"/>
            <w:vAlign w:val="top"/>
          </w:tcPr>
          <w:p w14:paraId="4F4441B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5786" w:type="dxa"/>
            <w:noWrap w:val="0"/>
            <w:vAlign w:val="top"/>
          </w:tcPr>
          <w:p w14:paraId="7717151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  <w:t>结构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  <w:t>书写平行整齐、间隔适度，连写方法正确、均匀流畅。</w:t>
            </w:r>
          </w:p>
        </w:tc>
        <w:tc>
          <w:tcPr>
            <w:tcW w:w="1222" w:type="dxa"/>
            <w:noWrap w:val="0"/>
            <w:vAlign w:val="top"/>
          </w:tcPr>
          <w:p w14:paraId="47B4680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30分</w:t>
            </w:r>
          </w:p>
        </w:tc>
        <w:tc>
          <w:tcPr>
            <w:tcW w:w="1222" w:type="dxa"/>
            <w:vMerge w:val="continue"/>
            <w:noWrap w:val="0"/>
            <w:vAlign w:val="top"/>
          </w:tcPr>
          <w:p w14:paraId="13441A6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F089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1" w:hRule="atLeast"/>
          <w:jc w:val="center"/>
        </w:trPr>
        <w:tc>
          <w:tcPr>
            <w:tcW w:w="1012" w:type="dxa"/>
            <w:vMerge w:val="continue"/>
            <w:noWrap w:val="0"/>
            <w:vAlign w:val="top"/>
          </w:tcPr>
          <w:p w14:paraId="53B9C81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5786" w:type="dxa"/>
            <w:noWrap w:val="0"/>
            <w:vAlign w:val="top"/>
          </w:tcPr>
          <w:p w14:paraId="7535D9E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  <w:t>用笔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  <w:t>书写姿势正确，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英文</w:t>
            </w:r>
            <w:r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  <w:t>字母笔顺和连写笔顺规范。</w:t>
            </w:r>
          </w:p>
        </w:tc>
        <w:tc>
          <w:tcPr>
            <w:tcW w:w="1222" w:type="dxa"/>
            <w:noWrap w:val="0"/>
            <w:vAlign w:val="top"/>
          </w:tcPr>
          <w:p w14:paraId="5FADDA0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30分</w:t>
            </w:r>
          </w:p>
        </w:tc>
        <w:tc>
          <w:tcPr>
            <w:tcW w:w="1222" w:type="dxa"/>
            <w:vMerge w:val="continue"/>
            <w:noWrap w:val="0"/>
            <w:vAlign w:val="top"/>
          </w:tcPr>
          <w:p w14:paraId="457E36C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2A0766DD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360" w:lineRule="exact"/>
        <w:textAlignment w:val="auto"/>
        <w:rPr>
          <w:color w:val="000000"/>
        </w:rPr>
      </w:pPr>
    </w:p>
    <w:p w14:paraId="1AD3A006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360" w:lineRule="exact"/>
        <w:textAlignment w:val="auto"/>
        <w:rPr>
          <w:color w:val="000000"/>
        </w:rPr>
      </w:pPr>
    </w:p>
    <w:p w14:paraId="55EBA16B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360" w:lineRule="exact"/>
        <w:textAlignment w:val="auto"/>
        <w:rPr>
          <w:color w:val="000000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Microsoft YaHei UI">
    <w:altName w:val="苹方-简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4839EA"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</w:t>
    </w:r>
    <w:r>
      <w:fldChar w:fldCharType="end"/>
    </w:r>
  </w:p>
  <w:p w14:paraId="37C5078B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7946B9"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1BADBDA3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6EFCDF"/>
    <w:multiLevelType w:val="singleLevel"/>
    <w:tmpl w:val="A96EFCD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2837E21"/>
    <w:multiLevelType w:val="singleLevel"/>
    <w:tmpl w:val="F2837E2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143999D"/>
    <w:multiLevelType w:val="singleLevel"/>
    <w:tmpl w:val="0143999D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50FCDC5C"/>
    <w:multiLevelType w:val="singleLevel"/>
    <w:tmpl w:val="50FCDC5C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0OTY1YTFhNzUxMzBhZmM0NjRiOGNiZjQ5MzEzNzkifQ=="/>
  </w:docVars>
  <w:rsids>
    <w:rsidRoot w:val="00000000"/>
    <w:rsid w:val="086D4FB6"/>
    <w:rsid w:val="096802A0"/>
    <w:rsid w:val="11270B39"/>
    <w:rsid w:val="1A0379A9"/>
    <w:rsid w:val="1BDC4575"/>
    <w:rsid w:val="36B545B6"/>
    <w:rsid w:val="46FF7265"/>
    <w:rsid w:val="49CCF5A7"/>
    <w:rsid w:val="4ED670D6"/>
    <w:rsid w:val="4EF120B3"/>
    <w:rsid w:val="53C17BE3"/>
    <w:rsid w:val="54F83C51"/>
    <w:rsid w:val="5C1A263A"/>
    <w:rsid w:val="5FFF3818"/>
    <w:rsid w:val="611F158C"/>
    <w:rsid w:val="64E42046"/>
    <w:rsid w:val="65BE4289"/>
    <w:rsid w:val="712D08EB"/>
    <w:rsid w:val="74F1D975"/>
    <w:rsid w:val="78E76C7E"/>
    <w:rsid w:val="7AC71B3B"/>
    <w:rsid w:val="7EF7690F"/>
    <w:rsid w:val="7F33EBE6"/>
    <w:rsid w:val="7F3FBE14"/>
    <w:rsid w:val="DFFF15A9"/>
    <w:rsid w:val="ECB7D12E"/>
    <w:rsid w:val="EEFFAFA7"/>
    <w:rsid w:val="FBFE2160"/>
    <w:rsid w:val="FF5FBD2F"/>
    <w:rsid w:val="FFF581EA"/>
    <w:rsid w:val="FFFF74BA"/>
    <w:rsid w:val="FFFFA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customStyle="1" w:styleId="10">
    <w:name w:val="15"/>
    <w:basedOn w:val="7"/>
    <w:qFormat/>
    <w:uiPriority w:val="0"/>
    <w:rPr>
      <w:rFonts w:hint="default" w:ascii="Times New Roman" w:hAnsi="Times New Roman" w:cs="Times New Roman"/>
    </w:rPr>
  </w:style>
  <w:style w:type="character" w:customStyle="1" w:styleId="11">
    <w:name w:val="10"/>
    <w:basedOn w:val="7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3897</Words>
  <Characters>4315</Characters>
  <Lines>1</Lines>
  <Paragraphs>1</Paragraphs>
  <TotalTime>12</TotalTime>
  <ScaleCrop>false</ScaleCrop>
  <LinksUpToDate>false</LinksUpToDate>
  <CharactersWithSpaces>4353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2023-05-15T07:15:00Z</dcterms:created>
  <dc:creator>DELL</dc:creator>
  <cp:lastModifiedBy>Zhong Maobin</cp:lastModifiedBy>
  <dcterms:modified xsi:type="dcterms:W3CDTF">2026-05-07T23:41:57Z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DD8541F3476A412980BAEC6E96DC5E2C_12</vt:lpwstr>
  </property>
  <property fmtid="{D5CDD505-2E9C-101B-9397-08002B2CF9AE}" pid="4" name="KSOTemplateDocerSaveRecord">
    <vt:lpwstr>eyJoZGlkIjoiNjljMDE2ZDI0MmRkNzdiNmMxMzRhYmJkYTFhMzE1ODIiLCJ1c2VySWQiOiI2NTA0MjU0NTkifQ==</vt:lpwstr>
  </property>
</Properties>
</file>